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75EF" w14:textId="44C917EC" w:rsidR="00073319" w:rsidRDefault="008C39F2">
      <w:r>
        <w:rPr>
          <w:noProof/>
          <w:lang w:bidi="en-GB"/>
        </w:rPr>
        <w:drawing>
          <wp:inline distT="0" distB="0" distL="0" distR="0" wp14:anchorId="7E05ED2F" wp14:editId="71A78263">
            <wp:extent cx="2533509" cy="74930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8" cstate="print">
                      <a:extLst>
                        <a:ext uri="{28A0092B-C50C-407E-A947-70E740481C1C}">
                          <a14:useLocalDpi xmlns:a14="http://schemas.microsoft.com/office/drawing/2010/main" val="0"/>
                        </a:ext>
                      </a:extLst>
                    </a:blip>
                    <a:srcRect l="8600" t="30880" r="8269" b="34342"/>
                    <a:stretch/>
                  </pic:blipFill>
                  <pic:spPr bwMode="auto">
                    <a:xfrm>
                      <a:off x="0" y="0"/>
                      <a:ext cx="2558769" cy="756771"/>
                    </a:xfrm>
                    <a:prstGeom prst="rect">
                      <a:avLst/>
                    </a:prstGeom>
                    <a:ln>
                      <a:noFill/>
                    </a:ln>
                    <a:extLst>
                      <a:ext uri="{53640926-AAD7-44D8-BBD7-CCE9431645EC}">
                        <a14:shadowObscured xmlns:a14="http://schemas.microsoft.com/office/drawing/2010/main"/>
                      </a:ext>
                    </a:extLst>
                  </pic:spPr>
                </pic:pic>
              </a:graphicData>
            </a:graphic>
          </wp:inline>
        </w:drawing>
      </w:r>
    </w:p>
    <w:p w14:paraId="34DF168E" w14:textId="77777777" w:rsidR="00842EE8" w:rsidRDefault="00842EE8" w:rsidP="00073319">
      <w:pPr>
        <w:spacing w:after="0" w:line="240" w:lineRule="auto"/>
        <w:jc w:val="right"/>
        <w:rPr>
          <w:rFonts w:cstheme="minorHAnsi"/>
          <w:b/>
          <w:color w:val="665D54"/>
          <w:sz w:val="32"/>
          <w:szCs w:val="18"/>
        </w:rPr>
      </w:pPr>
    </w:p>
    <w:p w14:paraId="26487BDC" w14:textId="77777777" w:rsidR="00842EE8" w:rsidRDefault="00842EE8" w:rsidP="00073319">
      <w:pPr>
        <w:spacing w:after="0" w:line="240" w:lineRule="auto"/>
        <w:jc w:val="right"/>
        <w:rPr>
          <w:rFonts w:cstheme="minorHAnsi"/>
          <w:b/>
          <w:color w:val="665D54"/>
          <w:sz w:val="32"/>
          <w:szCs w:val="18"/>
        </w:rPr>
      </w:pPr>
    </w:p>
    <w:p w14:paraId="06941364" w14:textId="6D71153B" w:rsidR="00073319" w:rsidRPr="00586A11" w:rsidRDefault="00073319" w:rsidP="00073319">
      <w:pPr>
        <w:spacing w:after="0" w:line="240" w:lineRule="auto"/>
        <w:jc w:val="right"/>
        <w:rPr>
          <w:rFonts w:ascii="Gill Sans Std" w:hAnsi="Gill Sans Std" w:cstheme="minorHAnsi"/>
          <w:b/>
          <w:color w:val="665D54"/>
          <w:sz w:val="32"/>
          <w:szCs w:val="18"/>
        </w:rPr>
      </w:pPr>
      <w:r w:rsidRPr="00586A11">
        <w:rPr>
          <w:rFonts w:ascii="Gill Sans Std" w:eastAsia="Gill Sans Std" w:hAnsi="Gill Sans Std" w:cstheme="minorHAnsi"/>
          <w:b/>
          <w:color w:val="665D54"/>
          <w:sz w:val="32"/>
          <w:szCs w:val="18"/>
          <w:lang w:bidi="en-GB"/>
        </w:rPr>
        <w:t>PRESS RELEASE</w:t>
      </w:r>
    </w:p>
    <w:p w14:paraId="79B89454" w14:textId="6B49626B" w:rsidR="00073319" w:rsidRPr="00586A11" w:rsidRDefault="00073319" w:rsidP="00073319">
      <w:pPr>
        <w:spacing w:after="0" w:line="240" w:lineRule="auto"/>
        <w:jc w:val="right"/>
        <w:rPr>
          <w:rFonts w:ascii="Gill Sans Std" w:hAnsi="Gill Sans Std" w:cstheme="minorHAnsi"/>
          <w:sz w:val="20"/>
          <w:szCs w:val="18"/>
        </w:rPr>
      </w:pPr>
      <w:r w:rsidRPr="008271B9">
        <w:rPr>
          <w:rFonts w:ascii="Gill Sans Std" w:eastAsia="Gill Sans Std" w:hAnsi="Gill Sans Std" w:cstheme="minorHAnsi"/>
          <w:sz w:val="20"/>
          <w:szCs w:val="18"/>
          <w:lang w:bidi="en-GB"/>
        </w:rPr>
        <w:t>Paris, 25 February 2025</w:t>
      </w:r>
    </w:p>
    <w:p w14:paraId="391F52C7" w14:textId="77777777" w:rsidR="00073319" w:rsidRPr="00586A11" w:rsidRDefault="00073319" w:rsidP="00073319">
      <w:pPr>
        <w:spacing w:after="0" w:line="240" w:lineRule="auto"/>
        <w:jc w:val="center"/>
        <w:rPr>
          <w:rFonts w:ascii="Gill Sans Std" w:hAnsi="Gill Sans Std" w:cstheme="minorHAnsi"/>
          <w:b/>
          <w:color w:val="002060"/>
          <w:sz w:val="32"/>
          <w:szCs w:val="18"/>
        </w:rPr>
      </w:pPr>
    </w:p>
    <w:p w14:paraId="4A23BED3" w14:textId="702EC088" w:rsidR="0066557D" w:rsidRPr="00586A11" w:rsidRDefault="00A86B13" w:rsidP="0066557D">
      <w:pPr>
        <w:jc w:val="center"/>
        <w:rPr>
          <w:rFonts w:ascii="Gill Sans Std" w:hAnsi="Gill Sans Std"/>
          <w:b/>
          <w:caps/>
          <w:color w:val="002060"/>
          <w:sz w:val="30"/>
          <w:szCs w:val="30"/>
        </w:rPr>
      </w:pPr>
      <w:r w:rsidRPr="00586A11">
        <w:rPr>
          <w:rFonts w:ascii="Gill Sans Std" w:eastAsia="Gill Sans Std" w:hAnsi="Gill Sans Std" w:cs="Gill Sans Std"/>
          <w:b/>
          <w:color w:val="002060"/>
          <w:sz w:val="30"/>
          <w:szCs w:val="30"/>
          <w:lang w:bidi="en-GB"/>
        </w:rPr>
        <w:t>IN AN ENVIRONMENT MARKED BY FALLING INFLATION AND MODERATE GROWTH, BRED BANQUE POPULAIRE POSTS STRONG PERFORMANCE, WITH A SIGNIFICANT INCREASE IN ITS NET BANKING INCOME AND NET INCOME</w:t>
      </w:r>
    </w:p>
    <w:p w14:paraId="5000535C" w14:textId="1DEE0AF3" w:rsidR="0066557D" w:rsidRPr="00586A11" w:rsidRDefault="0066557D" w:rsidP="0066557D">
      <w:pPr>
        <w:jc w:val="center"/>
        <w:rPr>
          <w:rFonts w:ascii="Gill Sans Std" w:hAnsi="Gill Sans Std"/>
          <w:b/>
          <w:caps/>
          <w:color w:val="002060"/>
          <w:sz w:val="30"/>
          <w:szCs w:val="30"/>
        </w:rPr>
      </w:pPr>
      <w:r w:rsidRPr="00586A11">
        <w:rPr>
          <w:rFonts w:ascii="Gill Sans Std" w:eastAsia="Gill Sans Std" w:hAnsi="Gill Sans Std" w:cs="Gill Sans Std"/>
          <w:b/>
          <w:color w:val="002060"/>
          <w:sz w:val="30"/>
          <w:szCs w:val="30"/>
          <w:lang w:bidi="en-GB"/>
        </w:rPr>
        <w:t>THE BANK CONTINUES TO EXPAND INTERNATIONALLY WITH THE ACQUISITION OF THE FIRST BANK IN MADAGASCAR.</w:t>
      </w:r>
    </w:p>
    <w:p w14:paraId="18E30C9F" w14:textId="77777777" w:rsidR="00842EE8" w:rsidRPr="0026346E" w:rsidRDefault="00842EE8" w:rsidP="006A765C">
      <w:pPr>
        <w:jc w:val="center"/>
        <w:rPr>
          <w:b/>
          <w:caps/>
          <w:color w:val="665D54"/>
          <w:sz w:val="30"/>
          <w:szCs w:val="30"/>
        </w:rPr>
      </w:pPr>
    </w:p>
    <w:p w14:paraId="36CDACEF" w14:textId="77777777" w:rsidR="00073319" w:rsidRDefault="00073319" w:rsidP="00073319">
      <w:pPr>
        <w:spacing w:after="0" w:line="240" w:lineRule="auto"/>
        <w:rPr>
          <w:caps/>
          <w:color w:val="665D54"/>
          <w:sz w:val="24"/>
          <w:szCs w:val="24"/>
          <w:highlight w:val="yellow"/>
        </w:rPr>
      </w:pPr>
    </w:p>
    <w:p w14:paraId="1D74246E" w14:textId="0BA65BF1" w:rsidR="0061282F" w:rsidRPr="00635A87" w:rsidRDefault="0061282F" w:rsidP="00ED5A95">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665D54"/>
          <w:sz w:val="30"/>
          <w:szCs w:val="30"/>
          <w:highlight w:val="yellow"/>
          <w:lang w:eastAsia="fr-FR"/>
        </w:rPr>
      </w:pPr>
    </w:p>
    <w:p w14:paraId="0821E713" w14:textId="1498A121" w:rsidR="0061282F" w:rsidRPr="00586A11" w:rsidRDefault="0061282F" w:rsidP="00ED5A95">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u w:val="single"/>
          <w:lang w:eastAsia="fr-FR"/>
        </w:rPr>
      </w:pPr>
      <w:r w:rsidRPr="00586A11">
        <w:rPr>
          <w:rFonts w:ascii="Gill Sans Std" w:eastAsia="Times New Roman" w:hAnsi="Gill Sans Std" w:cs="Calibri"/>
          <w:b/>
          <w:color w:val="665D54"/>
          <w:sz w:val="30"/>
          <w:szCs w:val="30"/>
          <w:u w:val="single"/>
          <w:lang w:bidi="en-GB"/>
        </w:rPr>
        <w:t>IN 2024</w:t>
      </w:r>
      <w:r w:rsidRPr="00586A11">
        <w:rPr>
          <w:rFonts w:ascii="Gill Sans Std" w:eastAsia="Times New Roman" w:hAnsi="Gill Sans Std" w:cs="Calibri"/>
          <w:b/>
          <w:color w:val="665D54"/>
          <w:sz w:val="30"/>
          <w:szCs w:val="30"/>
          <w:lang w:bidi="en-GB"/>
        </w:rPr>
        <w:t>:</w:t>
      </w:r>
    </w:p>
    <w:p w14:paraId="26EC0346" w14:textId="77777777" w:rsidR="0061282F" w:rsidRPr="00586A11" w:rsidRDefault="0061282F" w:rsidP="001D01FD">
      <w:pPr>
        <w:pBdr>
          <w:top w:val="single" w:sz="4" w:space="1" w:color="auto"/>
          <w:left w:val="single" w:sz="4" w:space="4" w:color="auto"/>
          <w:bottom w:val="single" w:sz="4" w:space="1" w:color="auto"/>
          <w:right w:val="single" w:sz="4" w:space="4" w:color="auto"/>
        </w:pBdr>
        <w:spacing w:after="0" w:line="240" w:lineRule="auto"/>
        <w:rPr>
          <w:rFonts w:ascii="Gill Sans Std" w:eastAsia="Times New Roman" w:hAnsi="Gill Sans Std" w:cs="Calibri"/>
          <w:b/>
          <w:bCs/>
          <w:color w:val="665D54"/>
          <w:sz w:val="30"/>
          <w:szCs w:val="30"/>
          <w:highlight w:val="yellow"/>
          <w:lang w:eastAsia="fr-FR"/>
        </w:rPr>
      </w:pPr>
    </w:p>
    <w:p w14:paraId="2D91C03A" w14:textId="6CF8058F" w:rsidR="008715A6" w:rsidRDefault="008715A6" w:rsidP="00464BEF">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1F3864" w:themeColor="accent5" w:themeShade="80"/>
          <w:sz w:val="30"/>
          <w:szCs w:val="30"/>
          <w:lang w:eastAsia="fr-FR"/>
        </w:rPr>
      </w:pPr>
      <w:r>
        <w:rPr>
          <w:rFonts w:ascii="Gill Sans Std" w:eastAsia="Times New Roman" w:hAnsi="Gill Sans Std" w:cs="Calibri"/>
          <w:b/>
          <w:color w:val="1F3864" w:themeColor="accent5" w:themeShade="80"/>
          <w:sz w:val="30"/>
          <w:szCs w:val="30"/>
          <w:lang w:bidi="en-GB"/>
        </w:rPr>
        <w:t>10% GROWTH IN NET BANKING INCOME</w:t>
      </w:r>
      <w:bookmarkStart w:id="0" w:name="_Hlk159491316"/>
    </w:p>
    <w:p w14:paraId="1038AE04" w14:textId="41E3358A" w:rsidR="00464BEF" w:rsidRPr="00586A11" w:rsidRDefault="008715A6" w:rsidP="00464BEF">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lang w:eastAsia="fr-FR"/>
        </w:rPr>
      </w:pPr>
      <w:r>
        <w:rPr>
          <w:rFonts w:ascii="Gill Sans Std" w:eastAsia="Times New Roman" w:hAnsi="Gill Sans Std" w:cs="Calibri"/>
          <w:b/>
          <w:color w:val="1F3864" w:themeColor="accent5" w:themeShade="80"/>
          <w:sz w:val="30"/>
          <w:szCs w:val="30"/>
          <w:lang w:bidi="en-GB"/>
        </w:rPr>
        <w:t>AT €1,468m</w:t>
      </w:r>
      <w:bookmarkEnd w:id="0"/>
    </w:p>
    <w:p w14:paraId="5EE9F8BC" w14:textId="77777777" w:rsidR="00464BEF" w:rsidRPr="00586A11" w:rsidRDefault="00464BEF" w:rsidP="00ED5A95">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u w:val="single"/>
          <w:lang w:eastAsia="fr-FR"/>
        </w:rPr>
      </w:pPr>
    </w:p>
    <w:p w14:paraId="71498169" w14:textId="1FCF0ECF" w:rsidR="00804F56" w:rsidRPr="00586A11" w:rsidRDefault="00464BEF" w:rsidP="00ED5A95">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1F3864" w:themeColor="accent5" w:themeShade="80"/>
          <w:sz w:val="30"/>
          <w:szCs w:val="30"/>
          <w:lang w:eastAsia="fr-FR"/>
        </w:rPr>
      </w:pPr>
      <w:r w:rsidRPr="00586A11">
        <w:rPr>
          <w:rFonts w:ascii="Gill Sans Std" w:eastAsia="Times New Roman" w:hAnsi="Gill Sans Std" w:cs="Calibri"/>
          <w:b/>
          <w:color w:val="1F3864" w:themeColor="accent5" w:themeShade="80"/>
          <w:sz w:val="30"/>
          <w:szCs w:val="30"/>
          <w:lang w:bidi="en-GB"/>
        </w:rPr>
        <w:t xml:space="preserve">NET INCOME </w:t>
      </w:r>
      <w:bookmarkStart w:id="1" w:name="_Hlk159491334"/>
      <w:r w:rsidRPr="00586A11">
        <w:rPr>
          <w:rFonts w:ascii="Gill Sans Std" w:eastAsia="Times New Roman" w:hAnsi="Gill Sans Std" w:cs="Calibri"/>
          <w:b/>
          <w:color w:val="1F3864" w:themeColor="accent5" w:themeShade="80"/>
          <w:sz w:val="30"/>
          <w:szCs w:val="30"/>
          <w:lang w:bidi="en-GB"/>
        </w:rPr>
        <w:t xml:space="preserve">OF </w:t>
      </w:r>
      <w:bookmarkStart w:id="2" w:name="_Hlk159508547"/>
      <w:r w:rsidRPr="00586A11">
        <w:rPr>
          <w:rFonts w:ascii="Gill Sans Std" w:eastAsia="Times New Roman" w:hAnsi="Gill Sans Std" w:cs="Calibri"/>
          <w:b/>
          <w:color w:val="1F3864" w:themeColor="accent5" w:themeShade="80"/>
          <w:sz w:val="30"/>
          <w:szCs w:val="30"/>
          <w:lang w:bidi="en-GB"/>
        </w:rPr>
        <w:t xml:space="preserve">€391m, UP 23% </w:t>
      </w:r>
      <w:bookmarkEnd w:id="2"/>
    </w:p>
    <w:bookmarkEnd w:id="1"/>
    <w:p w14:paraId="59B23375" w14:textId="77777777" w:rsidR="00966C4E" w:rsidRPr="00586A11" w:rsidRDefault="00966C4E"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1F3864" w:themeColor="accent5" w:themeShade="80"/>
          <w:sz w:val="30"/>
          <w:szCs w:val="30"/>
          <w:highlight w:val="yellow"/>
          <w:lang w:eastAsia="fr-FR"/>
        </w:rPr>
      </w:pPr>
    </w:p>
    <w:p w14:paraId="56D2470F" w14:textId="25E0D1BF" w:rsidR="008715A6" w:rsidRDefault="008715A6"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1F3864" w:themeColor="accent5" w:themeShade="80"/>
          <w:sz w:val="30"/>
          <w:szCs w:val="30"/>
          <w:lang w:eastAsia="fr-FR"/>
        </w:rPr>
      </w:pPr>
      <w:r>
        <w:rPr>
          <w:rFonts w:ascii="Gill Sans Std" w:eastAsia="Times New Roman" w:hAnsi="Gill Sans Std" w:cs="Calibri"/>
          <w:b/>
          <w:color w:val="1F3864" w:themeColor="accent5" w:themeShade="80"/>
          <w:sz w:val="30"/>
          <w:szCs w:val="30"/>
          <w:lang w:bidi="en-GB"/>
        </w:rPr>
        <w:t>VERY GOOD COST/INCOME RATIO </w:t>
      </w:r>
    </w:p>
    <w:p w14:paraId="03D8D952" w14:textId="6293AFF5" w:rsidR="00966C4E" w:rsidRPr="00586A11" w:rsidRDefault="008715A6"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lang w:eastAsia="fr-FR"/>
        </w:rPr>
      </w:pPr>
      <w:r w:rsidRPr="008715A6">
        <w:rPr>
          <w:rFonts w:ascii="Gill Sans Std" w:eastAsia="Times New Roman" w:hAnsi="Gill Sans Std" w:cs="Calibri"/>
          <w:b/>
          <w:color w:val="1F3864" w:themeColor="accent5" w:themeShade="80"/>
          <w:sz w:val="30"/>
          <w:szCs w:val="30"/>
          <w:lang w:bidi="en-GB"/>
        </w:rPr>
        <w:t xml:space="preserve">AT </w:t>
      </w:r>
      <w:r w:rsidR="00A36634" w:rsidRPr="00586A11">
        <w:rPr>
          <w:rFonts w:ascii="Gill Sans Std" w:eastAsia="Times New Roman" w:hAnsi="Gill Sans Std" w:cs="Calibri"/>
          <w:b/>
          <w:color w:val="002060"/>
          <w:sz w:val="30"/>
          <w:szCs w:val="30"/>
          <w:lang w:bidi="en-GB"/>
        </w:rPr>
        <w:t xml:space="preserve">56.9% </w:t>
      </w:r>
    </w:p>
    <w:p w14:paraId="3D8FD8B1" w14:textId="77777777" w:rsidR="00AA4A9A" w:rsidRPr="00586A11" w:rsidRDefault="00AA4A9A"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highlight w:val="yellow"/>
          <w:lang w:eastAsia="fr-FR"/>
        </w:rPr>
      </w:pPr>
    </w:p>
    <w:p w14:paraId="3E654137" w14:textId="77777777" w:rsidR="008715A6" w:rsidRDefault="008715A6"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lang w:eastAsia="fr-FR"/>
        </w:rPr>
      </w:pPr>
      <w:r>
        <w:rPr>
          <w:rFonts w:ascii="Gill Sans Std" w:eastAsia="Times New Roman" w:hAnsi="Gill Sans Std" w:cs="Calibri"/>
          <w:b/>
          <w:color w:val="002060"/>
          <w:sz w:val="30"/>
          <w:szCs w:val="30"/>
          <w:lang w:bidi="en-GB"/>
        </w:rPr>
        <w:t xml:space="preserve">6% INCREASE IN SHAREHOLDERS’ EQUITY </w:t>
      </w:r>
    </w:p>
    <w:p w14:paraId="1366696B" w14:textId="77A2DF81" w:rsidR="00966C4E" w:rsidRPr="00586A11" w:rsidRDefault="008715A6"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lang w:eastAsia="fr-FR"/>
        </w:rPr>
      </w:pPr>
      <w:r w:rsidRPr="008715A6">
        <w:rPr>
          <w:rFonts w:ascii="Gill Sans Std" w:eastAsia="Times New Roman" w:hAnsi="Gill Sans Std" w:cs="Calibri"/>
          <w:b/>
          <w:color w:val="1F3864" w:themeColor="accent5" w:themeShade="80"/>
          <w:sz w:val="30"/>
          <w:szCs w:val="30"/>
          <w:lang w:bidi="en-GB"/>
        </w:rPr>
        <w:t xml:space="preserve">AT €7.1bn </w:t>
      </w:r>
    </w:p>
    <w:p w14:paraId="5AE6EC49" w14:textId="77777777" w:rsidR="00966C4E" w:rsidRPr="00586A11" w:rsidRDefault="00966C4E" w:rsidP="00966C4E">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665D54"/>
          <w:sz w:val="30"/>
          <w:szCs w:val="30"/>
          <w:highlight w:val="yellow"/>
          <w:lang w:eastAsia="fr-FR"/>
        </w:rPr>
      </w:pPr>
    </w:p>
    <w:p w14:paraId="4A1133C7" w14:textId="479AEB98" w:rsidR="002D696B" w:rsidRPr="00586A11" w:rsidRDefault="00966C4E" w:rsidP="00AF13FD">
      <w:pPr>
        <w:pBdr>
          <w:top w:val="single" w:sz="4" w:space="1" w:color="auto"/>
          <w:left w:val="single" w:sz="4" w:space="4" w:color="auto"/>
          <w:bottom w:val="single" w:sz="4" w:space="1" w:color="auto"/>
          <w:right w:val="single" w:sz="4" w:space="4" w:color="auto"/>
        </w:pBdr>
        <w:spacing w:after="0" w:line="240" w:lineRule="auto"/>
        <w:jc w:val="center"/>
        <w:rPr>
          <w:rFonts w:ascii="Gill Sans Std" w:eastAsia="Times New Roman" w:hAnsi="Gill Sans Std" w:cs="Calibri"/>
          <w:b/>
          <w:bCs/>
          <w:color w:val="1F3864" w:themeColor="accent5" w:themeShade="80"/>
          <w:sz w:val="30"/>
          <w:szCs w:val="30"/>
          <w:lang w:eastAsia="fr-FR"/>
        </w:rPr>
      </w:pPr>
      <w:r w:rsidRPr="008172D4">
        <w:rPr>
          <w:rFonts w:ascii="Gill Sans Std" w:eastAsia="Times New Roman" w:hAnsi="Gill Sans Std" w:cs="Calibri"/>
          <w:b/>
          <w:color w:val="1F3864" w:themeColor="accent5" w:themeShade="80"/>
          <w:sz w:val="30"/>
          <w:szCs w:val="30"/>
          <w:lang w:bidi="en-GB"/>
        </w:rPr>
        <w:t>VERY STRONG CET1 SOLVENCY RATIO OF 16.1%</w:t>
      </w:r>
    </w:p>
    <w:p w14:paraId="5B496A18" w14:textId="77777777" w:rsidR="00073319" w:rsidRPr="00591D7C" w:rsidRDefault="00073319" w:rsidP="0061282F">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665D54"/>
          <w:sz w:val="28"/>
          <w:szCs w:val="28"/>
          <w:highlight w:val="yellow"/>
          <w:lang w:eastAsia="fr-FR"/>
        </w:rPr>
      </w:pPr>
    </w:p>
    <w:p w14:paraId="5F20368B" w14:textId="77777777" w:rsidR="00953615" w:rsidRDefault="00953615" w:rsidP="000F3D7D">
      <w:pPr>
        <w:jc w:val="both"/>
        <w:rPr>
          <w:i/>
          <w:iCs/>
          <w:color w:val="665D54"/>
          <w:sz w:val="24"/>
          <w:szCs w:val="24"/>
        </w:rPr>
      </w:pPr>
    </w:p>
    <w:p w14:paraId="6640449B" w14:textId="2687B509" w:rsidR="00B71C12" w:rsidRPr="00564FDC" w:rsidRDefault="00614795" w:rsidP="00B71C12">
      <w:pPr>
        <w:spacing w:after="0" w:line="240" w:lineRule="auto"/>
        <w:rPr>
          <w:color w:val="665D54"/>
          <w:sz w:val="24"/>
          <w:szCs w:val="24"/>
        </w:rPr>
      </w:pPr>
      <w:r>
        <w:rPr>
          <w:rFonts w:cstheme="minorHAnsi"/>
          <w:noProof/>
          <w:color w:val="665D54"/>
          <w:lang w:bidi="en-GB"/>
        </w:rPr>
        <w:lastRenderedPageBreak/>
        <w:drawing>
          <wp:anchor distT="0" distB="0" distL="114300" distR="114300" simplePos="0" relativeHeight="251658240" behindDoc="1" locked="0" layoutInCell="1" allowOverlap="1" wp14:anchorId="002A9FCD" wp14:editId="2C87D946">
            <wp:simplePos x="0" y="0"/>
            <wp:positionH relativeFrom="margin">
              <wp:align>left</wp:align>
            </wp:positionH>
            <wp:positionV relativeFrom="paragraph">
              <wp:posOffset>13970</wp:posOffset>
            </wp:positionV>
            <wp:extent cx="1333500" cy="1560830"/>
            <wp:effectExtent l="0" t="0" r="0" b="1270"/>
            <wp:wrapTight wrapText="bothSides">
              <wp:wrapPolygon edited="0">
                <wp:start x="0" y="0"/>
                <wp:lineTo x="0" y="21354"/>
                <wp:lineTo x="21291" y="21354"/>
                <wp:lineTo x="21291" y="0"/>
                <wp:lineTo x="0" y="0"/>
              </wp:wrapPolygon>
            </wp:wrapTight>
            <wp:docPr id="1" name="Image 1" descr="Une image contenant Visage humain, personne,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Visage humain, personne, sourire, habits&#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00" cy="1560830"/>
                    </a:xfrm>
                    <a:prstGeom prst="rect">
                      <a:avLst/>
                    </a:prstGeom>
                  </pic:spPr>
                </pic:pic>
              </a:graphicData>
            </a:graphic>
            <wp14:sizeRelH relativeFrom="margin">
              <wp14:pctWidth>0</wp14:pctWidth>
            </wp14:sizeRelH>
            <wp14:sizeRelV relativeFrom="margin">
              <wp14:pctHeight>0</wp14:pctHeight>
            </wp14:sizeRelV>
          </wp:anchor>
        </w:drawing>
      </w:r>
    </w:p>
    <w:p w14:paraId="5F27A28B" w14:textId="600FEF5E" w:rsidR="001D25E5" w:rsidRPr="00586A11" w:rsidRDefault="001D25E5" w:rsidP="00614795">
      <w:pPr>
        <w:jc w:val="both"/>
        <w:rPr>
          <w:rFonts w:ascii="Gill Sans Std" w:hAnsi="Gill Sans Std" w:cstheme="minorHAnsi"/>
          <w:bCs/>
          <w:i/>
          <w:iCs/>
          <w:color w:val="665D54"/>
        </w:rPr>
      </w:pPr>
      <w:r w:rsidRPr="00564FDC">
        <w:rPr>
          <w:rFonts w:ascii="Gill Sans Std" w:eastAsia="Gill Sans Std" w:hAnsi="Gill Sans Std" w:cstheme="minorHAnsi"/>
          <w:color w:val="665D54"/>
          <w:lang w:bidi="en-GB"/>
        </w:rPr>
        <w:t>According to Jean-Paul Julia, Chief Executive Officer of BRED Banque Populaire: “</w:t>
      </w:r>
      <w:r w:rsidRPr="00564FDC">
        <w:rPr>
          <w:rFonts w:ascii="Gill Sans Std" w:eastAsia="Gill Sans Std" w:hAnsi="Gill Sans Std" w:cstheme="minorHAnsi"/>
          <w:i/>
          <w:color w:val="665D54"/>
          <w:lang w:bidi="en-GB"/>
        </w:rPr>
        <w:t>2024 marks the first year of the roll-out of our “Aligning 2027 BRED energies-Ambitions” strategic plan, with excellent results that illustrate the strong momentum of BRED Banque Populaire in all its markets. We will continue our development, with the aim of constantly improving our support for our customers and members in all our regions.”</w:t>
      </w:r>
    </w:p>
    <w:p w14:paraId="4B7EF4FC" w14:textId="77777777" w:rsidR="001D25E5" w:rsidRPr="00586A11" w:rsidRDefault="001D25E5" w:rsidP="00B71C12">
      <w:pPr>
        <w:spacing w:after="0" w:line="240" w:lineRule="auto"/>
        <w:rPr>
          <w:rFonts w:ascii="Gill Sans Std" w:hAnsi="Gill Sans Std"/>
          <w:color w:val="665D54"/>
          <w:sz w:val="24"/>
          <w:szCs w:val="24"/>
          <w:highlight w:val="yellow"/>
        </w:rPr>
      </w:pPr>
    </w:p>
    <w:p w14:paraId="465E7479" w14:textId="77777777" w:rsidR="00614795" w:rsidRPr="00586A11" w:rsidRDefault="00614795" w:rsidP="00B71C12">
      <w:pPr>
        <w:spacing w:after="0" w:line="240" w:lineRule="auto"/>
        <w:rPr>
          <w:rFonts w:ascii="Gill Sans Std" w:hAnsi="Gill Sans Std"/>
          <w:color w:val="665D54"/>
          <w:sz w:val="24"/>
          <w:szCs w:val="24"/>
          <w:highlight w:val="yellow"/>
        </w:rPr>
      </w:pPr>
    </w:p>
    <w:p w14:paraId="4C06C9BE" w14:textId="77777777" w:rsidR="00C32F45" w:rsidRDefault="00C32F45" w:rsidP="00780764">
      <w:pPr>
        <w:spacing w:after="0" w:line="240" w:lineRule="auto"/>
        <w:jc w:val="both"/>
        <w:rPr>
          <w:rFonts w:ascii="Gill Sans Std" w:hAnsi="Gill Sans Std"/>
          <w:color w:val="665D54"/>
          <w:sz w:val="24"/>
          <w:szCs w:val="24"/>
        </w:rPr>
      </w:pPr>
    </w:p>
    <w:p w14:paraId="47A21970" w14:textId="2CD03ED2" w:rsidR="000F3D7D" w:rsidRPr="00586A11" w:rsidRDefault="001565AC" w:rsidP="00780764">
      <w:pPr>
        <w:spacing w:after="0" w:line="240" w:lineRule="auto"/>
        <w:jc w:val="both"/>
        <w:rPr>
          <w:rFonts w:ascii="Gill Sans Std" w:hAnsi="Gill Sans Std"/>
          <w:color w:val="665D54"/>
          <w:sz w:val="24"/>
          <w:szCs w:val="24"/>
        </w:rPr>
      </w:pPr>
      <w:r w:rsidRPr="00586A11">
        <w:rPr>
          <w:rFonts w:ascii="Gill Sans Std" w:eastAsia="Gill Sans Std" w:hAnsi="Gill Sans Std" w:cs="Gill Sans Std"/>
          <w:color w:val="665D54"/>
          <w:sz w:val="24"/>
          <w:szCs w:val="24"/>
          <w:lang w:bidi="en-GB"/>
        </w:rPr>
        <w:t xml:space="preserve">BRED Banque Populaire generated net banking income (NBI) of </w:t>
      </w:r>
      <w:r w:rsidRPr="00586A11">
        <w:rPr>
          <w:rFonts w:ascii="Gill Sans Std" w:eastAsia="Gill Sans Std" w:hAnsi="Gill Sans Std" w:cs="Gill Sans Std"/>
          <w:b/>
          <w:color w:val="665D54"/>
          <w:sz w:val="24"/>
          <w:szCs w:val="24"/>
          <w:lang w:bidi="en-GB"/>
        </w:rPr>
        <w:t>€1,468 million</w:t>
      </w:r>
      <w:r w:rsidRPr="00586A11">
        <w:rPr>
          <w:rFonts w:ascii="Gill Sans Std" w:eastAsia="Gill Sans Std" w:hAnsi="Gill Sans Std" w:cs="Gill Sans Std"/>
          <w:color w:val="665D54"/>
          <w:sz w:val="24"/>
          <w:szCs w:val="24"/>
          <w:lang w:bidi="en-GB"/>
        </w:rPr>
        <w:t>, up 10% compared with 2023.</w:t>
      </w:r>
    </w:p>
    <w:p w14:paraId="44479150" w14:textId="026B8150" w:rsidR="00E05762" w:rsidRPr="00586A11" w:rsidRDefault="00E05762" w:rsidP="00780764">
      <w:pPr>
        <w:spacing w:after="0" w:line="240" w:lineRule="auto"/>
        <w:jc w:val="both"/>
        <w:rPr>
          <w:rFonts w:ascii="Gill Sans Std" w:hAnsi="Gill Sans Std"/>
          <w:color w:val="665D54"/>
          <w:sz w:val="24"/>
          <w:szCs w:val="24"/>
        </w:rPr>
      </w:pPr>
    </w:p>
    <w:p w14:paraId="53A5D631" w14:textId="2A5A6A59" w:rsidR="00522C09" w:rsidRDefault="005E72D7" w:rsidP="00780764">
      <w:pPr>
        <w:spacing w:after="0"/>
        <w:jc w:val="both"/>
        <w:rPr>
          <w:rFonts w:ascii="Gill Sans Std" w:hAnsi="Gill Sans Std"/>
          <w:color w:val="665D54"/>
          <w:sz w:val="24"/>
          <w:szCs w:val="24"/>
        </w:rPr>
      </w:pPr>
      <w:r w:rsidRPr="005E72D7">
        <w:rPr>
          <w:rFonts w:ascii="Gill Sans Std" w:eastAsia="Gill Sans Std" w:hAnsi="Gill Sans Std" w:cs="Gill Sans Std"/>
          <w:color w:val="665D54"/>
          <w:sz w:val="24"/>
          <w:szCs w:val="24"/>
          <w:lang w:bidi="en-GB"/>
        </w:rPr>
        <w:t>In 2024, BRED Banque Populaire benefited from its diversified model in terms of revenues and activity, against a backdrop of political and geopolitical uncertainty and a moderate recovery in growth.</w:t>
      </w:r>
    </w:p>
    <w:p w14:paraId="61DF9FA9" w14:textId="77777777" w:rsidR="00595437" w:rsidRDefault="00595437" w:rsidP="00780764">
      <w:pPr>
        <w:spacing w:after="0"/>
        <w:jc w:val="both"/>
        <w:rPr>
          <w:rFonts w:ascii="Gill Sans Std" w:hAnsi="Gill Sans Std"/>
          <w:color w:val="665D54"/>
          <w:sz w:val="24"/>
          <w:szCs w:val="24"/>
        </w:rPr>
      </w:pPr>
    </w:p>
    <w:p w14:paraId="61CC8C8F" w14:textId="77777777" w:rsidR="00595437" w:rsidRPr="00586A11" w:rsidRDefault="00595437" w:rsidP="00595437">
      <w:pPr>
        <w:keepNext/>
        <w:pBdr>
          <w:bottom w:val="single" w:sz="18" w:space="1" w:color="665D54"/>
        </w:pBdr>
        <w:spacing w:after="0" w:line="240" w:lineRule="auto"/>
        <w:jc w:val="both"/>
        <w:rPr>
          <w:rFonts w:ascii="Gill Sans Std" w:hAnsi="Gill Sans Std"/>
          <w:color w:val="665D54"/>
          <w:sz w:val="24"/>
          <w:szCs w:val="24"/>
        </w:rPr>
      </w:pPr>
    </w:p>
    <w:p w14:paraId="7F3921FD" w14:textId="77777777" w:rsidR="00595437" w:rsidRPr="00586A11" w:rsidRDefault="00595437" w:rsidP="00595437">
      <w:pPr>
        <w:spacing w:after="0" w:line="240" w:lineRule="auto"/>
        <w:jc w:val="center"/>
        <w:rPr>
          <w:rFonts w:ascii="Gill Sans Std" w:hAnsi="Gill Sans Std"/>
          <w:b/>
          <w:color w:val="665D54"/>
          <w:sz w:val="32"/>
        </w:rPr>
      </w:pPr>
      <w:r w:rsidRPr="00586A11">
        <w:rPr>
          <w:rFonts w:ascii="Gill Sans Std" w:eastAsia="Gill Sans Std" w:hAnsi="Gill Sans Std" w:cs="Gill Sans Std"/>
          <w:b/>
          <w:color w:val="665D54"/>
          <w:sz w:val="32"/>
          <w:lang w:bidi="en-GB"/>
        </w:rPr>
        <w:t>Breakdown of NBI by business division</w:t>
      </w:r>
    </w:p>
    <w:p w14:paraId="4DD9D128" w14:textId="77777777" w:rsidR="00595437" w:rsidRPr="00591D7C" w:rsidRDefault="00595437" w:rsidP="00595437">
      <w:pPr>
        <w:spacing w:after="0" w:line="240" w:lineRule="auto"/>
        <w:jc w:val="center"/>
        <w:rPr>
          <w:noProof/>
          <w:color w:val="767171" w:themeColor="background2" w:themeShade="80"/>
          <w:sz w:val="20"/>
          <w:szCs w:val="32"/>
          <w:highlight w:val="yellow"/>
          <w:lang w:eastAsia="fr-FR"/>
        </w:rPr>
      </w:pPr>
    </w:p>
    <w:p w14:paraId="3839DB40" w14:textId="77777777" w:rsidR="00595437" w:rsidRPr="00591D7C" w:rsidRDefault="00595437" w:rsidP="00595437">
      <w:pPr>
        <w:spacing w:after="0" w:line="240" w:lineRule="auto"/>
        <w:jc w:val="center"/>
        <w:rPr>
          <w:noProof/>
          <w:color w:val="767171" w:themeColor="background2" w:themeShade="80"/>
          <w:sz w:val="20"/>
          <w:szCs w:val="32"/>
          <w:highlight w:val="yellow"/>
          <w:lang w:eastAsia="fr-FR"/>
        </w:rPr>
      </w:pPr>
    </w:p>
    <w:p w14:paraId="1E9CF96C" w14:textId="77777777" w:rsidR="00595437" w:rsidRDefault="00595437" w:rsidP="00595437">
      <w:pPr>
        <w:spacing w:after="0" w:line="240" w:lineRule="auto"/>
        <w:rPr>
          <w:noProof/>
        </w:rPr>
      </w:pPr>
      <w:r>
        <w:rPr>
          <w:noProof/>
          <w:lang w:bidi="en-GB"/>
        </w:rPr>
        <w:drawing>
          <wp:inline distT="0" distB="0" distL="0" distR="0" wp14:anchorId="31FFC2B6" wp14:editId="3D9CD1AF">
            <wp:extent cx="5857875" cy="2637790"/>
            <wp:effectExtent l="0" t="0" r="0" b="0"/>
            <wp:docPr id="877955567" name="Graphique 1">
              <a:extLst xmlns:a="http://schemas.openxmlformats.org/drawingml/2006/main">
                <a:ext uri="{FF2B5EF4-FFF2-40B4-BE49-F238E27FC236}">
                  <a16:creationId xmlns:a16="http://schemas.microsoft.com/office/drawing/2014/main" id="{D9D3EAD5-79E1-2100-E956-3ADCB19A50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196F8B" w14:textId="77777777" w:rsidR="00595437" w:rsidRDefault="00595437" w:rsidP="00595437">
      <w:pPr>
        <w:keepNext/>
        <w:pBdr>
          <w:bottom w:val="single" w:sz="18" w:space="1" w:color="665D54"/>
        </w:pBdr>
        <w:spacing w:after="0" w:line="240" w:lineRule="auto"/>
        <w:jc w:val="both"/>
        <w:rPr>
          <w:color w:val="665D54"/>
          <w:sz w:val="24"/>
          <w:szCs w:val="24"/>
        </w:rPr>
      </w:pPr>
    </w:p>
    <w:p w14:paraId="5846D9DA" w14:textId="77777777" w:rsidR="00697D4A" w:rsidRPr="00697D4A" w:rsidRDefault="00697D4A" w:rsidP="00780764">
      <w:pPr>
        <w:spacing w:after="0"/>
        <w:jc w:val="both"/>
        <w:rPr>
          <w:rFonts w:ascii="Gill Sans Std" w:hAnsi="Gill Sans Std"/>
          <w:color w:val="665D54"/>
          <w:sz w:val="24"/>
          <w:szCs w:val="24"/>
          <w:u w:val="single"/>
        </w:rPr>
      </w:pPr>
    </w:p>
    <w:p w14:paraId="6056B2B8" w14:textId="379A750B" w:rsidR="009879CF" w:rsidRPr="00586A11" w:rsidRDefault="00B71C12" w:rsidP="005268C0">
      <w:pPr>
        <w:spacing w:after="0"/>
        <w:jc w:val="both"/>
        <w:rPr>
          <w:rFonts w:ascii="Gill Sans Std" w:hAnsi="Gill Sans Std"/>
          <w:b/>
          <w:bCs/>
          <w:color w:val="665D54"/>
          <w:sz w:val="24"/>
          <w:szCs w:val="24"/>
          <w:u w:val="thick"/>
        </w:rPr>
      </w:pPr>
      <w:r w:rsidRPr="00586A11">
        <w:rPr>
          <w:rFonts w:ascii="Gill Sans Std" w:eastAsia="Gill Sans Std" w:hAnsi="Gill Sans Std" w:cs="Gill Sans Std"/>
          <w:b/>
          <w:color w:val="665D54"/>
          <w:sz w:val="24"/>
          <w:szCs w:val="24"/>
          <w:u w:val="thick"/>
          <w:lang w:bidi="en-GB"/>
        </w:rPr>
        <w:t>Commercial Banking France</w:t>
      </w:r>
    </w:p>
    <w:p w14:paraId="09EAD3B6" w14:textId="77777777" w:rsidR="00522C09" w:rsidRPr="00586A11" w:rsidRDefault="00522C09" w:rsidP="005268C0">
      <w:pPr>
        <w:spacing w:after="0"/>
        <w:jc w:val="both"/>
        <w:rPr>
          <w:rFonts w:ascii="Gill Sans Std" w:hAnsi="Gill Sans Std"/>
          <w:b/>
          <w:bCs/>
          <w:color w:val="665D54"/>
          <w:sz w:val="24"/>
          <w:szCs w:val="24"/>
          <w:highlight w:val="yellow"/>
          <w:u w:val="thick"/>
        </w:rPr>
      </w:pPr>
    </w:p>
    <w:p w14:paraId="3EFD4D5B" w14:textId="12A8DE83" w:rsidR="00121432" w:rsidRDefault="00AD702B" w:rsidP="0041328D">
      <w:pPr>
        <w:spacing w:after="0"/>
        <w:jc w:val="both"/>
        <w:rPr>
          <w:rFonts w:ascii="Gill Sans Std" w:hAnsi="Gill Sans Std"/>
          <w:color w:val="665D54"/>
          <w:sz w:val="24"/>
          <w:szCs w:val="24"/>
        </w:rPr>
      </w:pPr>
      <w:r w:rsidRPr="005E72D7">
        <w:rPr>
          <w:rFonts w:ascii="Gill Sans Std" w:eastAsia="Gill Sans Std" w:hAnsi="Gill Sans Std" w:cs="Gill Sans Std"/>
          <w:b/>
          <w:color w:val="665D54"/>
          <w:sz w:val="24"/>
          <w:szCs w:val="24"/>
          <w:lang w:bidi="en-GB"/>
        </w:rPr>
        <w:t>Commercial Banking in France</w:t>
      </w:r>
      <w:r w:rsidRPr="005E72D7">
        <w:rPr>
          <w:rFonts w:ascii="Gill Sans Std" w:eastAsia="Gill Sans Std" w:hAnsi="Gill Sans Std" w:cs="Gill Sans Std"/>
          <w:color w:val="665D54"/>
          <w:sz w:val="24"/>
          <w:szCs w:val="24"/>
          <w:lang w:bidi="en-GB"/>
        </w:rPr>
        <w:t xml:space="preserve"> (including ALM) saw an 8.1% drop in NBI. Impacted by the cost of funding and refinancing during the year, the interest margin increased significantly in the last quarter. Fee and commission income was up, a sign of deepening relations in all our customer segments.</w:t>
      </w:r>
    </w:p>
    <w:p w14:paraId="0DCA76C5" w14:textId="77777777" w:rsidR="00253F88" w:rsidRDefault="00253F88" w:rsidP="007A6480">
      <w:pPr>
        <w:spacing w:after="0"/>
        <w:jc w:val="both"/>
        <w:rPr>
          <w:rFonts w:ascii="Gill Sans Std" w:hAnsi="Gill Sans Std"/>
          <w:bCs/>
          <w:color w:val="665D54"/>
          <w:sz w:val="24"/>
          <w:szCs w:val="24"/>
        </w:rPr>
      </w:pPr>
    </w:p>
    <w:p w14:paraId="37F100F3" w14:textId="77777777" w:rsidR="00163C1C" w:rsidRPr="00586A11" w:rsidRDefault="00163C1C" w:rsidP="007A6480">
      <w:pPr>
        <w:spacing w:after="0"/>
        <w:jc w:val="both"/>
        <w:rPr>
          <w:rFonts w:ascii="Gill Sans Std" w:hAnsi="Gill Sans Std"/>
          <w:bCs/>
          <w:color w:val="665D54"/>
          <w:sz w:val="24"/>
          <w:szCs w:val="24"/>
        </w:rPr>
      </w:pPr>
    </w:p>
    <w:p w14:paraId="65A12307" w14:textId="026C3F71" w:rsidR="00C4237F" w:rsidRPr="00586A11" w:rsidRDefault="00180F9D" w:rsidP="007A6480">
      <w:pPr>
        <w:spacing w:after="0"/>
        <w:jc w:val="both"/>
        <w:rPr>
          <w:rFonts w:ascii="Gill Sans Std" w:hAnsi="Gill Sans Std"/>
          <w:color w:val="665D54"/>
          <w:u w:val="thick"/>
        </w:rPr>
      </w:pPr>
      <w:r w:rsidRPr="00586A11">
        <w:rPr>
          <w:rFonts w:ascii="Gill Sans Std" w:eastAsia="Gill Sans Std" w:hAnsi="Gill Sans Std" w:cs="Gill Sans Std"/>
          <w:b/>
          <w:color w:val="665D54"/>
          <w:sz w:val="24"/>
          <w:szCs w:val="24"/>
          <w:u w:val="thick"/>
          <w:lang w:bidi="en-GB"/>
        </w:rPr>
        <w:lastRenderedPageBreak/>
        <w:t xml:space="preserve">International and Overseas Territories Banking </w:t>
      </w:r>
    </w:p>
    <w:p w14:paraId="48BEC0E5" w14:textId="77777777" w:rsidR="00C4237F" w:rsidRPr="00586A11" w:rsidRDefault="00C4237F" w:rsidP="007A6480">
      <w:pPr>
        <w:spacing w:after="0"/>
        <w:jc w:val="both"/>
        <w:rPr>
          <w:rFonts w:ascii="Gill Sans Std" w:hAnsi="Gill Sans Std"/>
          <w:color w:val="665D54"/>
          <w:sz w:val="24"/>
          <w:szCs w:val="24"/>
          <w:highlight w:val="yellow"/>
        </w:rPr>
      </w:pPr>
    </w:p>
    <w:p w14:paraId="6AB6DA9C" w14:textId="7448B865" w:rsidR="00BD3277" w:rsidRPr="00586A11" w:rsidRDefault="00AC0B8C" w:rsidP="007A6480">
      <w:pPr>
        <w:spacing w:after="0"/>
        <w:jc w:val="both"/>
        <w:rPr>
          <w:rFonts w:ascii="Gill Sans Std" w:hAnsi="Gill Sans Std"/>
          <w:color w:val="665D54"/>
          <w:sz w:val="24"/>
          <w:szCs w:val="24"/>
        </w:rPr>
      </w:pPr>
      <w:r w:rsidRPr="007E087E">
        <w:rPr>
          <w:rFonts w:ascii="Gill Sans Std" w:eastAsia="Gill Sans Std" w:hAnsi="Gill Sans Std" w:cs="Gill Sans Std"/>
          <w:color w:val="665D54"/>
          <w:sz w:val="24"/>
          <w:szCs w:val="24"/>
          <w:lang w:bidi="en-GB"/>
        </w:rPr>
        <w:t>The international and overseas territories banking division posted an 8.7% increase in net banking income at constant exchange rates. It continues to benefit from the strong performance of its commercial banking business in the Pacific and Horn of Africa, and from the strength of its international financing activities.</w:t>
      </w:r>
    </w:p>
    <w:p w14:paraId="56ACCD65" w14:textId="3E5070F6" w:rsidR="003D24E5" w:rsidRPr="00586A11" w:rsidRDefault="003D24E5" w:rsidP="007A6480">
      <w:pPr>
        <w:spacing w:after="0"/>
        <w:jc w:val="both"/>
        <w:rPr>
          <w:rFonts w:ascii="Gill Sans Std" w:hAnsi="Gill Sans Std"/>
          <w:color w:val="665D54"/>
          <w:sz w:val="24"/>
          <w:szCs w:val="24"/>
        </w:rPr>
      </w:pPr>
    </w:p>
    <w:p w14:paraId="2F0A5BF8" w14:textId="79789920" w:rsidR="003D24E5" w:rsidRPr="00586A11" w:rsidRDefault="00CB0FB7" w:rsidP="007A6480">
      <w:pPr>
        <w:spacing w:after="0"/>
        <w:jc w:val="both"/>
        <w:rPr>
          <w:rFonts w:ascii="Gill Sans Std" w:hAnsi="Gill Sans Std"/>
          <w:b/>
          <w:color w:val="665D54"/>
          <w:sz w:val="24"/>
          <w:szCs w:val="24"/>
          <w:u w:val="thick"/>
        </w:rPr>
      </w:pPr>
      <w:r w:rsidRPr="00586A11">
        <w:rPr>
          <w:rFonts w:ascii="Gill Sans Std" w:eastAsia="Gill Sans Std" w:hAnsi="Gill Sans Std" w:cs="Gill Sans Std"/>
          <w:b/>
          <w:color w:val="665D54"/>
          <w:sz w:val="24"/>
          <w:szCs w:val="24"/>
          <w:u w:val="thick"/>
          <w:lang w:bidi="en-GB"/>
        </w:rPr>
        <w:t>Corporate and Investment Banking</w:t>
      </w:r>
    </w:p>
    <w:p w14:paraId="43878B8B" w14:textId="77777777" w:rsidR="00163C1C" w:rsidRPr="00586A11" w:rsidRDefault="00163C1C" w:rsidP="00163C1C">
      <w:pPr>
        <w:spacing w:after="0"/>
        <w:jc w:val="both"/>
        <w:rPr>
          <w:rFonts w:ascii="Gill Sans Std" w:hAnsi="Gill Sans Std"/>
          <w:color w:val="665D54"/>
          <w:sz w:val="24"/>
          <w:szCs w:val="24"/>
          <w:highlight w:val="yellow"/>
        </w:rPr>
      </w:pPr>
    </w:p>
    <w:p w14:paraId="78765868" w14:textId="420119DB" w:rsidR="0039108D" w:rsidRDefault="0039108D" w:rsidP="007A6480">
      <w:pPr>
        <w:spacing w:after="0"/>
        <w:jc w:val="both"/>
        <w:rPr>
          <w:rFonts w:ascii="Gill Sans Std" w:hAnsi="Gill Sans Std"/>
          <w:color w:val="665D54"/>
          <w:sz w:val="24"/>
          <w:szCs w:val="24"/>
        </w:rPr>
      </w:pPr>
      <w:r w:rsidRPr="0039108D">
        <w:rPr>
          <w:rFonts w:ascii="Gill Sans Std" w:eastAsia="Gill Sans Std" w:hAnsi="Gill Sans Std" w:cs="Gill Sans Std"/>
          <w:color w:val="665D54"/>
          <w:sz w:val="24"/>
          <w:szCs w:val="24"/>
          <w:lang w:bidi="en-GB"/>
        </w:rPr>
        <w:t>Corporate and Investment Banking (CIB), which includes the activities of Corporate Banking and the Capital Markets Department, saw an increase in NBI in 2024 (+28.4%).</w:t>
      </w:r>
    </w:p>
    <w:p w14:paraId="4C70C6EB" w14:textId="77777777" w:rsidR="0039108D" w:rsidRDefault="0039108D" w:rsidP="007A6480">
      <w:pPr>
        <w:spacing w:after="0"/>
        <w:jc w:val="both"/>
        <w:rPr>
          <w:rFonts w:ascii="Gill Sans Std" w:hAnsi="Gill Sans Std"/>
          <w:color w:val="665D54"/>
          <w:sz w:val="24"/>
          <w:szCs w:val="24"/>
        </w:rPr>
      </w:pPr>
    </w:p>
    <w:p w14:paraId="58605491" w14:textId="536DEA69" w:rsidR="002114B7" w:rsidRDefault="00263A72" w:rsidP="007A6480">
      <w:pPr>
        <w:spacing w:after="0"/>
        <w:jc w:val="both"/>
        <w:rPr>
          <w:rFonts w:ascii="Gill Sans Std" w:hAnsi="Gill Sans Std"/>
          <w:color w:val="665D54"/>
          <w:sz w:val="24"/>
          <w:szCs w:val="24"/>
        </w:rPr>
      </w:pPr>
      <w:r w:rsidRPr="00EA4D3A">
        <w:rPr>
          <w:rFonts w:ascii="Gill Sans Std" w:eastAsia="Gill Sans Std" w:hAnsi="Gill Sans Std" w:cs="Gill Sans Std"/>
          <w:color w:val="665D54"/>
          <w:sz w:val="24"/>
          <w:szCs w:val="24"/>
          <w:lang w:bidi="en-GB"/>
        </w:rPr>
        <w:t>Corporate Banking continued to be heavily involved with customers in all the fundamentals of its businesses. The Capital Markets Department consolidated its commercial activity with a higher market share and growing influence among a diversified customer base. It confirmed its first-place ranking in Europe for the placement of short-term debt of domestic and international issuers for the second year in a row.</w:t>
      </w:r>
    </w:p>
    <w:p w14:paraId="40EAF0F4" w14:textId="77777777" w:rsidR="007A2818" w:rsidRDefault="007A2818" w:rsidP="007A6480">
      <w:pPr>
        <w:spacing w:after="0"/>
        <w:jc w:val="both"/>
        <w:rPr>
          <w:rFonts w:ascii="Gill Sans Std" w:hAnsi="Gill Sans Std"/>
          <w:color w:val="665D54"/>
          <w:sz w:val="24"/>
          <w:szCs w:val="24"/>
        </w:rPr>
      </w:pPr>
    </w:p>
    <w:p w14:paraId="5CC4BE45" w14:textId="6480EC02" w:rsidR="003D24E5" w:rsidRPr="00586A11" w:rsidRDefault="003D24E5" w:rsidP="007A6480">
      <w:pPr>
        <w:spacing w:after="0"/>
        <w:jc w:val="both"/>
        <w:rPr>
          <w:rFonts w:ascii="Gill Sans Std" w:hAnsi="Gill Sans Std"/>
          <w:b/>
          <w:color w:val="665D54"/>
          <w:sz w:val="24"/>
          <w:szCs w:val="24"/>
          <w:u w:val="thick"/>
        </w:rPr>
      </w:pPr>
      <w:r w:rsidRPr="00586A11">
        <w:rPr>
          <w:rFonts w:ascii="Gill Sans Std" w:eastAsia="Gill Sans Std" w:hAnsi="Gill Sans Std" w:cs="Gill Sans Std"/>
          <w:b/>
          <w:color w:val="665D54"/>
          <w:sz w:val="24"/>
          <w:szCs w:val="24"/>
          <w:u w:val="thick"/>
          <w:lang w:bidi="en-GB"/>
        </w:rPr>
        <w:t>Consolidated Investment Management</w:t>
      </w:r>
    </w:p>
    <w:p w14:paraId="6B38AD0D" w14:textId="77777777" w:rsidR="00B71C12" w:rsidRPr="00586A11" w:rsidRDefault="00B71C12" w:rsidP="007A6480">
      <w:pPr>
        <w:spacing w:after="0"/>
        <w:jc w:val="both"/>
        <w:rPr>
          <w:rFonts w:ascii="Gill Sans Std" w:hAnsi="Gill Sans Std"/>
          <w:b/>
          <w:color w:val="665D54"/>
          <w:sz w:val="24"/>
          <w:szCs w:val="24"/>
          <w:highlight w:val="yellow"/>
          <w:u w:val="thick"/>
        </w:rPr>
      </w:pPr>
    </w:p>
    <w:p w14:paraId="2951879E" w14:textId="01C557CF" w:rsidR="00CD6C47" w:rsidRDefault="00C14B14" w:rsidP="007A6480">
      <w:pPr>
        <w:spacing w:after="0"/>
        <w:jc w:val="both"/>
        <w:rPr>
          <w:rFonts w:ascii="Gill Sans Std" w:hAnsi="Gill Sans Std"/>
          <w:color w:val="665D54"/>
          <w:sz w:val="24"/>
          <w:szCs w:val="24"/>
        </w:rPr>
      </w:pPr>
      <w:r w:rsidRPr="00C14B14">
        <w:rPr>
          <w:rFonts w:ascii="Gill Sans Std" w:eastAsia="Gill Sans Std" w:hAnsi="Gill Sans Std" w:cs="Gill Sans Std"/>
          <w:color w:val="665D54"/>
          <w:sz w:val="24"/>
          <w:szCs w:val="24"/>
          <w:lang w:bidi="en-GB"/>
        </w:rPr>
        <w:t>Consolidated investment management’s results rose sharply in 2024 (+113%) thanks to interest rates and private equity performance.</w:t>
      </w:r>
    </w:p>
    <w:p w14:paraId="1A7D5CBD" w14:textId="77777777" w:rsidR="005A0289" w:rsidRPr="00586A11" w:rsidRDefault="005A0289" w:rsidP="007A6480">
      <w:pPr>
        <w:spacing w:after="0"/>
        <w:jc w:val="both"/>
        <w:rPr>
          <w:rFonts w:ascii="Gill Sans Std" w:hAnsi="Gill Sans Std"/>
          <w:color w:val="665D54"/>
          <w:sz w:val="24"/>
          <w:szCs w:val="24"/>
        </w:rPr>
      </w:pPr>
    </w:p>
    <w:p w14:paraId="0F44AA6B" w14:textId="2A725AF7" w:rsidR="003D24E5" w:rsidRPr="00586A11" w:rsidRDefault="00291750" w:rsidP="004F0BB5">
      <w:pPr>
        <w:spacing w:after="0"/>
        <w:jc w:val="both"/>
        <w:rPr>
          <w:rFonts w:ascii="Gill Sans Std" w:hAnsi="Gill Sans Std" w:cstheme="minorHAnsi"/>
          <w:b/>
          <w:color w:val="002060"/>
          <w:sz w:val="28"/>
          <w:szCs w:val="28"/>
        </w:rPr>
      </w:pPr>
      <w:bookmarkStart w:id="3" w:name="_Hlk94621311"/>
      <w:r w:rsidRPr="00586A11">
        <w:rPr>
          <w:rFonts w:ascii="Gill Sans Std" w:eastAsia="Gill Sans Std" w:hAnsi="Gill Sans Std" w:cstheme="minorHAnsi"/>
          <w:b/>
          <w:color w:val="002060"/>
          <w:sz w:val="28"/>
          <w:szCs w:val="28"/>
          <w:lang w:bidi="en-GB"/>
        </w:rPr>
        <w:t xml:space="preserve">Operating expenses </w:t>
      </w:r>
    </w:p>
    <w:p w14:paraId="4FEECF4F" w14:textId="77777777" w:rsidR="003D24E5" w:rsidRPr="00586A11" w:rsidRDefault="003D24E5" w:rsidP="004F0BB5">
      <w:pPr>
        <w:spacing w:after="0"/>
        <w:jc w:val="both"/>
        <w:rPr>
          <w:rFonts w:ascii="Gill Sans Std" w:hAnsi="Gill Sans Std" w:cstheme="minorHAnsi"/>
          <w:b/>
          <w:color w:val="665D54"/>
        </w:rPr>
      </w:pPr>
    </w:p>
    <w:p w14:paraId="1D05A509" w14:textId="01FA2634" w:rsidR="001F3AD8" w:rsidRPr="00586A11" w:rsidRDefault="00E07EE7" w:rsidP="004F0BB5">
      <w:pPr>
        <w:spacing w:after="0"/>
        <w:jc w:val="both"/>
        <w:rPr>
          <w:rFonts w:ascii="Gill Sans Std" w:hAnsi="Gill Sans Std" w:cstheme="minorHAnsi"/>
          <w:b/>
          <w:color w:val="665D54"/>
          <w:sz w:val="24"/>
          <w:szCs w:val="24"/>
        </w:rPr>
      </w:pPr>
      <w:r w:rsidRPr="00586A11">
        <w:rPr>
          <w:rFonts w:ascii="Gill Sans Std" w:eastAsia="Gill Sans Std" w:hAnsi="Gill Sans Std" w:cstheme="minorHAnsi"/>
          <w:color w:val="665D54"/>
          <w:sz w:val="24"/>
          <w:szCs w:val="24"/>
          <w:lang w:bidi="en-GB"/>
        </w:rPr>
        <w:t xml:space="preserve">Operating expenses were kept under control, increasing by a total of </w:t>
      </w:r>
      <w:r w:rsidRPr="00586A11">
        <w:rPr>
          <w:rFonts w:ascii="Gill Sans Std" w:eastAsia="Gill Sans Std" w:hAnsi="Gill Sans Std" w:cstheme="minorHAnsi"/>
          <w:b/>
          <w:color w:val="665D54"/>
          <w:sz w:val="24"/>
          <w:szCs w:val="24"/>
          <w:lang w:bidi="en-GB"/>
        </w:rPr>
        <w:t xml:space="preserve">1.5%. </w:t>
      </w:r>
      <w:r w:rsidRPr="00586A11">
        <w:rPr>
          <w:rFonts w:ascii="Gill Sans Std" w:eastAsia="Gill Sans Std" w:hAnsi="Gill Sans Std" w:cstheme="minorHAnsi"/>
          <w:color w:val="665D54"/>
          <w:sz w:val="24"/>
          <w:szCs w:val="24"/>
          <w:lang w:bidi="en-GB"/>
        </w:rPr>
        <w:t>This reflects the investments made under the strategic plan in both human and IT resources to keep pace with development and improve processes. The strong development of the subsidiaries also contributed to growth in the Group’s operating expenses.</w:t>
      </w:r>
    </w:p>
    <w:bookmarkEnd w:id="3"/>
    <w:p w14:paraId="111203EB" w14:textId="77777777" w:rsidR="005268C0" w:rsidRPr="00586A11" w:rsidRDefault="005268C0" w:rsidP="004F0BB5">
      <w:pPr>
        <w:spacing w:after="0"/>
        <w:jc w:val="both"/>
        <w:rPr>
          <w:rFonts w:ascii="Gill Sans Std" w:hAnsi="Gill Sans Std" w:cstheme="minorHAnsi"/>
          <w:bCs/>
          <w:color w:val="665D54"/>
          <w:sz w:val="24"/>
          <w:szCs w:val="24"/>
          <w:highlight w:val="yellow"/>
        </w:rPr>
      </w:pPr>
    </w:p>
    <w:p w14:paraId="20C368D7" w14:textId="75B07EBF" w:rsidR="003D24E5" w:rsidRPr="00586A11" w:rsidRDefault="00607E70" w:rsidP="004F0BB5">
      <w:pPr>
        <w:spacing w:after="0"/>
        <w:jc w:val="both"/>
        <w:rPr>
          <w:rFonts w:ascii="Gill Sans Std" w:hAnsi="Gill Sans Std" w:cstheme="minorHAnsi"/>
          <w:b/>
          <w:color w:val="002060"/>
          <w:sz w:val="28"/>
          <w:szCs w:val="28"/>
        </w:rPr>
      </w:pPr>
      <w:r w:rsidRPr="00586A11">
        <w:rPr>
          <w:rFonts w:ascii="Gill Sans Std" w:eastAsia="Gill Sans Std" w:hAnsi="Gill Sans Std" w:cstheme="minorHAnsi"/>
          <w:b/>
          <w:color w:val="002060"/>
          <w:sz w:val="28"/>
          <w:szCs w:val="28"/>
          <w:lang w:bidi="en-GB"/>
        </w:rPr>
        <w:t xml:space="preserve">Cost/income ratio </w:t>
      </w:r>
    </w:p>
    <w:p w14:paraId="27FEC574" w14:textId="77777777" w:rsidR="00B71C12" w:rsidRPr="00586A11" w:rsidRDefault="00B71C12" w:rsidP="004F0BB5">
      <w:pPr>
        <w:spacing w:after="0"/>
        <w:jc w:val="both"/>
        <w:rPr>
          <w:rFonts w:ascii="Gill Sans Std" w:hAnsi="Gill Sans Std" w:cstheme="minorHAnsi"/>
          <w:b/>
          <w:color w:val="665D54"/>
          <w:sz w:val="24"/>
          <w:szCs w:val="24"/>
          <w:highlight w:val="yellow"/>
          <w:u w:val="thick"/>
        </w:rPr>
      </w:pPr>
    </w:p>
    <w:p w14:paraId="531D8C0D" w14:textId="6711CB98" w:rsidR="00132FDB" w:rsidRPr="00586A11" w:rsidRDefault="00291750" w:rsidP="00BC4FF3">
      <w:pPr>
        <w:spacing w:after="0" w:line="240" w:lineRule="auto"/>
        <w:jc w:val="both"/>
        <w:rPr>
          <w:rFonts w:ascii="Gill Sans Std" w:hAnsi="Gill Sans Std" w:cstheme="minorHAnsi"/>
          <w:bCs/>
          <w:color w:val="665D54"/>
          <w:sz w:val="24"/>
          <w:szCs w:val="24"/>
        </w:rPr>
      </w:pPr>
      <w:r w:rsidRPr="00586A11">
        <w:rPr>
          <w:rFonts w:ascii="Gill Sans Std" w:eastAsia="Gill Sans Std" w:hAnsi="Gill Sans Std" w:cstheme="minorHAnsi"/>
          <w:color w:val="665D54"/>
          <w:sz w:val="24"/>
          <w:szCs w:val="24"/>
          <w:lang w:bidi="en-GB"/>
        </w:rPr>
        <w:t xml:space="preserve">The cost/income ratio was very good at </w:t>
      </w:r>
      <w:r w:rsidRPr="00586A11">
        <w:rPr>
          <w:rFonts w:ascii="Gill Sans Std" w:eastAsia="Gill Sans Std" w:hAnsi="Gill Sans Std" w:cstheme="minorHAnsi"/>
          <w:b/>
          <w:color w:val="665D54"/>
          <w:sz w:val="24"/>
          <w:szCs w:val="24"/>
          <w:lang w:bidi="en-GB"/>
        </w:rPr>
        <w:t>56.9%</w:t>
      </w:r>
      <w:r w:rsidRPr="00586A11">
        <w:rPr>
          <w:rFonts w:ascii="Gill Sans Std" w:eastAsia="Gill Sans Std" w:hAnsi="Gill Sans Std" w:cstheme="minorHAnsi"/>
          <w:color w:val="665D54"/>
          <w:sz w:val="24"/>
          <w:szCs w:val="24"/>
          <w:lang w:bidi="en-GB"/>
        </w:rPr>
        <w:t xml:space="preserve">. </w:t>
      </w:r>
    </w:p>
    <w:p w14:paraId="47E27204" w14:textId="77777777" w:rsidR="00CF17B7" w:rsidRDefault="00CF17B7" w:rsidP="00BC4FF3">
      <w:pPr>
        <w:spacing w:after="0"/>
        <w:jc w:val="both"/>
        <w:rPr>
          <w:rFonts w:ascii="Gill Sans Std" w:hAnsi="Gill Sans Std" w:cstheme="minorHAnsi"/>
          <w:b/>
          <w:bCs/>
          <w:color w:val="002060"/>
          <w:sz w:val="28"/>
          <w:szCs w:val="28"/>
        </w:rPr>
      </w:pPr>
    </w:p>
    <w:p w14:paraId="330F370A" w14:textId="4AA8C6E1" w:rsidR="00FE2F9F" w:rsidRPr="00586A11" w:rsidRDefault="00291750" w:rsidP="00BC4FF3">
      <w:pPr>
        <w:spacing w:after="0"/>
        <w:jc w:val="both"/>
        <w:rPr>
          <w:rFonts w:ascii="Gill Sans Std" w:hAnsi="Gill Sans Std" w:cstheme="minorHAnsi"/>
          <w:b/>
          <w:bCs/>
          <w:color w:val="002060"/>
          <w:sz w:val="28"/>
          <w:szCs w:val="28"/>
        </w:rPr>
      </w:pPr>
      <w:r w:rsidRPr="00586A11">
        <w:rPr>
          <w:rFonts w:ascii="Gill Sans Std" w:eastAsia="Gill Sans Std" w:hAnsi="Gill Sans Std" w:cstheme="minorHAnsi"/>
          <w:b/>
          <w:color w:val="002060"/>
          <w:sz w:val="28"/>
          <w:szCs w:val="28"/>
          <w:lang w:bidi="en-GB"/>
        </w:rPr>
        <w:t xml:space="preserve">Cost of risk </w:t>
      </w:r>
    </w:p>
    <w:p w14:paraId="7FB6048D" w14:textId="77777777" w:rsidR="003D24E5" w:rsidRPr="00586A11" w:rsidRDefault="003D24E5" w:rsidP="00BC4FF3">
      <w:pPr>
        <w:spacing w:after="0"/>
        <w:jc w:val="both"/>
        <w:rPr>
          <w:rFonts w:ascii="Gill Sans Std" w:hAnsi="Gill Sans Std" w:cstheme="minorHAnsi"/>
          <w:b/>
          <w:bCs/>
          <w:color w:val="665D54"/>
          <w:sz w:val="24"/>
          <w:szCs w:val="24"/>
          <w:highlight w:val="yellow"/>
        </w:rPr>
      </w:pPr>
    </w:p>
    <w:p w14:paraId="607E98A0" w14:textId="62F2EFD2" w:rsidR="00464BFE" w:rsidRDefault="00A70B05" w:rsidP="00BC4FF3">
      <w:pPr>
        <w:spacing w:after="0"/>
        <w:jc w:val="both"/>
        <w:rPr>
          <w:rFonts w:ascii="Gill Sans Std" w:hAnsi="Gill Sans Std" w:cstheme="minorHAnsi"/>
          <w:color w:val="665D54"/>
          <w:sz w:val="24"/>
          <w:szCs w:val="24"/>
        </w:rPr>
      </w:pPr>
      <w:r w:rsidRPr="00586A11">
        <w:rPr>
          <w:rFonts w:ascii="Gill Sans Std" w:eastAsia="Gill Sans Std" w:hAnsi="Gill Sans Std" w:cstheme="minorHAnsi"/>
          <w:color w:val="665D54"/>
          <w:sz w:val="24"/>
          <w:szCs w:val="24"/>
          <w:lang w:bidi="en-GB"/>
        </w:rPr>
        <w:t xml:space="preserve">The overall cost of risk was </w:t>
      </w:r>
      <w:r w:rsidRPr="00586A11">
        <w:rPr>
          <w:rFonts w:ascii="Gill Sans Std" w:eastAsia="Gill Sans Std" w:hAnsi="Gill Sans Std" w:cstheme="minorHAnsi"/>
          <w:b/>
          <w:color w:val="665D54"/>
          <w:sz w:val="24"/>
          <w:szCs w:val="24"/>
          <w:lang w:bidi="en-GB"/>
        </w:rPr>
        <w:t>€195.5 million</w:t>
      </w:r>
      <w:r w:rsidRPr="00586A11">
        <w:rPr>
          <w:rFonts w:ascii="Gill Sans Std" w:eastAsia="Gill Sans Std" w:hAnsi="Gill Sans Std" w:cstheme="minorHAnsi"/>
          <w:color w:val="665D54"/>
          <w:sz w:val="24"/>
          <w:szCs w:val="24"/>
          <w:lang w:bidi="en-GB"/>
        </w:rPr>
        <w:t>, up 88.7%. This increase reflects a prudent policy of setting up provisions for performing loans in anticipation of a worsening economic environment. The proven cost of risk remained below historical levels.</w:t>
      </w:r>
    </w:p>
    <w:p w14:paraId="168C2148" w14:textId="77777777" w:rsidR="00121432" w:rsidRDefault="00121432" w:rsidP="00BC4FF3">
      <w:pPr>
        <w:spacing w:after="0"/>
        <w:jc w:val="both"/>
        <w:rPr>
          <w:rFonts w:ascii="Gill Sans Std" w:hAnsi="Gill Sans Std" w:cstheme="minorHAnsi"/>
          <w:color w:val="665D54"/>
          <w:sz w:val="24"/>
          <w:szCs w:val="24"/>
        </w:rPr>
      </w:pPr>
    </w:p>
    <w:p w14:paraId="288C9121" w14:textId="1601DCC1" w:rsidR="00FE2F9F" w:rsidRPr="00586A11" w:rsidRDefault="00291750" w:rsidP="00BC4FF3">
      <w:pPr>
        <w:spacing w:after="0"/>
        <w:jc w:val="both"/>
        <w:rPr>
          <w:rFonts w:ascii="Gill Sans Std" w:hAnsi="Gill Sans Std" w:cstheme="minorHAnsi"/>
          <w:b/>
          <w:bCs/>
          <w:color w:val="002060"/>
          <w:sz w:val="28"/>
          <w:szCs w:val="28"/>
        </w:rPr>
      </w:pPr>
      <w:r w:rsidRPr="00586A11">
        <w:rPr>
          <w:rFonts w:ascii="Gill Sans Std" w:eastAsia="Gill Sans Std" w:hAnsi="Gill Sans Std" w:cstheme="minorHAnsi"/>
          <w:b/>
          <w:color w:val="002060"/>
          <w:sz w:val="28"/>
          <w:szCs w:val="28"/>
          <w:lang w:bidi="en-GB"/>
        </w:rPr>
        <w:t xml:space="preserve">Net income BRED Group share </w:t>
      </w:r>
    </w:p>
    <w:p w14:paraId="776BE846" w14:textId="77777777" w:rsidR="005C165C" w:rsidRPr="00586A11" w:rsidRDefault="005C165C" w:rsidP="00BC4FF3">
      <w:pPr>
        <w:spacing w:after="0"/>
        <w:jc w:val="both"/>
        <w:rPr>
          <w:rFonts w:ascii="Gill Sans Std" w:hAnsi="Gill Sans Std" w:cstheme="minorHAnsi"/>
          <w:b/>
          <w:bCs/>
          <w:color w:val="665D54"/>
          <w:sz w:val="24"/>
          <w:szCs w:val="24"/>
        </w:rPr>
      </w:pPr>
    </w:p>
    <w:p w14:paraId="3A7E0916" w14:textId="7F0F8C74" w:rsidR="00CD6C47" w:rsidRDefault="00A9590D" w:rsidP="00132FDB">
      <w:pPr>
        <w:spacing w:after="0"/>
        <w:jc w:val="both"/>
        <w:rPr>
          <w:rFonts w:ascii="Gill Sans Std" w:hAnsi="Gill Sans Std" w:cstheme="minorHAnsi"/>
          <w:b/>
          <w:bCs/>
          <w:color w:val="665D54"/>
          <w:sz w:val="24"/>
          <w:szCs w:val="24"/>
        </w:rPr>
      </w:pPr>
      <w:r w:rsidRPr="00586A11">
        <w:rPr>
          <w:rFonts w:ascii="Gill Sans Std" w:eastAsia="Gill Sans Std" w:hAnsi="Gill Sans Std" w:cstheme="minorHAnsi"/>
          <w:color w:val="665D54"/>
          <w:sz w:val="24"/>
          <w:szCs w:val="24"/>
          <w:lang w:bidi="en-GB"/>
        </w:rPr>
        <w:t xml:space="preserve">Net income BRED Group share came to </w:t>
      </w:r>
      <w:r w:rsidRPr="00586A11">
        <w:rPr>
          <w:rFonts w:ascii="Gill Sans Std" w:eastAsia="Gill Sans Std" w:hAnsi="Gill Sans Std" w:cstheme="minorHAnsi"/>
          <w:b/>
          <w:color w:val="665D54"/>
          <w:sz w:val="24"/>
          <w:szCs w:val="24"/>
          <w:lang w:bidi="en-GB"/>
        </w:rPr>
        <w:t xml:space="preserve">€391 million (+23%). </w:t>
      </w:r>
    </w:p>
    <w:p w14:paraId="3F7DB4D8" w14:textId="77777777" w:rsidR="00E60CA7" w:rsidRPr="00586A11" w:rsidRDefault="00E60CA7" w:rsidP="00132FDB">
      <w:pPr>
        <w:spacing w:after="0"/>
        <w:jc w:val="both"/>
        <w:rPr>
          <w:rFonts w:ascii="Gill Sans Std" w:hAnsi="Gill Sans Std" w:cstheme="minorHAnsi"/>
          <w:color w:val="665D54"/>
          <w:sz w:val="24"/>
          <w:szCs w:val="24"/>
        </w:rPr>
      </w:pPr>
    </w:p>
    <w:p w14:paraId="3259AC00" w14:textId="01318A22" w:rsidR="00A97076" w:rsidRPr="00586A11" w:rsidRDefault="00291750" w:rsidP="003B19A1">
      <w:pPr>
        <w:keepNext/>
        <w:spacing w:after="0" w:line="240" w:lineRule="auto"/>
        <w:jc w:val="both"/>
        <w:rPr>
          <w:rFonts w:ascii="Gill Sans Std" w:hAnsi="Gill Sans Std"/>
          <w:b/>
          <w:color w:val="002060"/>
          <w:sz w:val="28"/>
          <w:szCs w:val="32"/>
        </w:rPr>
      </w:pPr>
      <w:r w:rsidRPr="00586A11">
        <w:rPr>
          <w:rFonts w:ascii="Gill Sans Std" w:eastAsia="Gill Sans Std" w:hAnsi="Gill Sans Std" w:cs="Gill Sans Std"/>
          <w:b/>
          <w:color w:val="002060"/>
          <w:sz w:val="28"/>
          <w:szCs w:val="32"/>
          <w:lang w:bidi="en-GB"/>
        </w:rPr>
        <w:t>Very strong solvency and liquidity ratios</w:t>
      </w:r>
    </w:p>
    <w:p w14:paraId="319A07CA" w14:textId="77777777" w:rsidR="00A97076" w:rsidRPr="00586A11" w:rsidRDefault="00A97076" w:rsidP="00A20220">
      <w:pPr>
        <w:keepNext/>
        <w:spacing w:after="0" w:line="240" w:lineRule="auto"/>
        <w:jc w:val="both"/>
        <w:rPr>
          <w:rFonts w:ascii="Gill Sans Std" w:hAnsi="Gill Sans Std"/>
          <w:color w:val="665D54"/>
          <w:sz w:val="24"/>
          <w:szCs w:val="24"/>
          <w:highlight w:val="yellow"/>
        </w:rPr>
      </w:pPr>
    </w:p>
    <w:p w14:paraId="64E834EC" w14:textId="6014569E" w:rsidR="001A0E3A" w:rsidRPr="00586A11" w:rsidRDefault="00A9590D" w:rsidP="00A20220">
      <w:pPr>
        <w:keepNext/>
        <w:spacing w:after="0" w:line="240" w:lineRule="auto"/>
        <w:jc w:val="both"/>
        <w:rPr>
          <w:rFonts w:ascii="Gill Sans Std" w:hAnsi="Gill Sans Std"/>
          <w:color w:val="665D54"/>
          <w:sz w:val="24"/>
          <w:szCs w:val="24"/>
        </w:rPr>
      </w:pPr>
      <w:r w:rsidRPr="00586A11">
        <w:rPr>
          <w:rFonts w:ascii="Gill Sans Std" w:eastAsia="Gill Sans Std" w:hAnsi="Gill Sans Std" w:cs="Gill Sans Std"/>
          <w:color w:val="665D54"/>
          <w:sz w:val="24"/>
          <w:szCs w:val="24"/>
          <w:lang w:bidi="en-GB"/>
        </w:rPr>
        <w:t xml:space="preserve">Shareholder’s equity stood at </w:t>
      </w:r>
      <w:r w:rsidRPr="00586A11">
        <w:rPr>
          <w:rFonts w:ascii="Gill Sans Std" w:eastAsia="Gill Sans Std" w:hAnsi="Gill Sans Std" w:cs="Gill Sans Std"/>
          <w:b/>
          <w:color w:val="665D54"/>
          <w:sz w:val="24"/>
          <w:szCs w:val="24"/>
          <w:lang w:bidi="en-GB"/>
        </w:rPr>
        <w:t>€7.1 billion</w:t>
      </w:r>
      <w:r w:rsidRPr="00586A11">
        <w:rPr>
          <w:rFonts w:ascii="Gill Sans Std" w:eastAsia="Gill Sans Std" w:hAnsi="Gill Sans Std" w:cs="Gill Sans Std"/>
          <w:color w:val="665D54"/>
          <w:sz w:val="24"/>
          <w:szCs w:val="24"/>
          <w:lang w:bidi="en-GB"/>
        </w:rPr>
        <w:t>, an increase of 6.2% over the year.</w:t>
      </w:r>
    </w:p>
    <w:p w14:paraId="593DDA9D" w14:textId="77777777" w:rsidR="001A0E3A" w:rsidRPr="00586A11" w:rsidRDefault="001A0E3A" w:rsidP="00A20220">
      <w:pPr>
        <w:keepNext/>
        <w:spacing w:after="0" w:line="240" w:lineRule="auto"/>
        <w:jc w:val="both"/>
        <w:rPr>
          <w:rFonts w:ascii="Gill Sans Std" w:hAnsi="Gill Sans Std"/>
          <w:color w:val="665D54"/>
          <w:sz w:val="24"/>
          <w:szCs w:val="24"/>
          <w:highlight w:val="yellow"/>
        </w:rPr>
      </w:pPr>
    </w:p>
    <w:p w14:paraId="631F9223" w14:textId="73D5AC28" w:rsidR="00073319" w:rsidRPr="008172D4" w:rsidRDefault="00073319" w:rsidP="00A20220">
      <w:pPr>
        <w:keepNext/>
        <w:spacing w:after="0" w:line="240" w:lineRule="auto"/>
        <w:jc w:val="both"/>
        <w:rPr>
          <w:rFonts w:ascii="Gill Sans Std" w:hAnsi="Gill Sans Std"/>
          <w:color w:val="665D54"/>
          <w:sz w:val="24"/>
          <w:szCs w:val="24"/>
        </w:rPr>
      </w:pPr>
      <w:r w:rsidRPr="008172D4">
        <w:rPr>
          <w:rFonts w:ascii="Gill Sans Std" w:eastAsia="Gill Sans Std" w:hAnsi="Gill Sans Std" w:cs="Gill Sans Std"/>
          <w:color w:val="665D54"/>
          <w:sz w:val="24"/>
          <w:szCs w:val="24"/>
          <w:lang w:bidi="en-GB"/>
        </w:rPr>
        <w:t xml:space="preserve">The </w:t>
      </w:r>
      <w:r w:rsidRPr="008172D4">
        <w:rPr>
          <w:rFonts w:ascii="Gill Sans Std" w:eastAsia="Gill Sans Std" w:hAnsi="Gill Sans Std" w:cs="Gill Sans Std"/>
          <w:b/>
          <w:color w:val="665D54"/>
          <w:sz w:val="24"/>
          <w:szCs w:val="24"/>
          <w:lang w:bidi="en-GB"/>
        </w:rPr>
        <w:t>CET1</w:t>
      </w:r>
      <w:r w:rsidRPr="008172D4">
        <w:rPr>
          <w:rFonts w:ascii="Gill Sans Std" w:eastAsia="Gill Sans Std" w:hAnsi="Gill Sans Std" w:cs="Gill Sans Std"/>
          <w:color w:val="665D54"/>
          <w:sz w:val="24"/>
          <w:szCs w:val="24"/>
          <w:lang w:bidi="en-GB"/>
        </w:rPr>
        <w:t xml:space="preserve"> solvency ratio was very good at </w:t>
      </w:r>
      <w:r w:rsidRPr="008172D4">
        <w:rPr>
          <w:rFonts w:ascii="Gill Sans Std" w:eastAsia="Gill Sans Std" w:hAnsi="Gill Sans Std" w:cs="Gill Sans Std"/>
          <w:b/>
          <w:color w:val="665D54"/>
          <w:sz w:val="24"/>
          <w:szCs w:val="24"/>
          <w:lang w:bidi="en-GB"/>
        </w:rPr>
        <w:t>16.1%</w:t>
      </w:r>
      <w:r w:rsidRPr="008172D4">
        <w:rPr>
          <w:rFonts w:ascii="Gill Sans Std" w:eastAsia="Gill Sans Std" w:hAnsi="Gill Sans Std" w:cs="Gill Sans Std"/>
          <w:color w:val="665D54"/>
          <w:sz w:val="24"/>
          <w:szCs w:val="24"/>
          <w:lang w:bidi="en-GB"/>
        </w:rPr>
        <w:t>.</w:t>
      </w:r>
    </w:p>
    <w:p w14:paraId="293E64FB" w14:textId="77777777" w:rsidR="00A97076" w:rsidRPr="00586A11" w:rsidRDefault="00A97076" w:rsidP="00A20220">
      <w:pPr>
        <w:keepNext/>
        <w:spacing w:after="0" w:line="240" w:lineRule="auto"/>
        <w:jc w:val="both"/>
        <w:rPr>
          <w:rFonts w:ascii="Gill Sans Std" w:hAnsi="Gill Sans Std"/>
          <w:color w:val="665D54"/>
          <w:sz w:val="24"/>
          <w:szCs w:val="24"/>
          <w:highlight w:val="yellow"/>
        </w:rPr>
      </w:pPr>
    </w:p>
    <w:p w14:paraId="48C7741F" w14:textId="795A0D1B" w:rsidR="00132FDB" w:rsidRPr="00586A11" w:rsidRDefault="00073319" w:rsidP="008F7A8F">
      <w:pPr>
        <w:keepNext/>
        <w:spacing w:after="0" w:line="240" w:lineRule="auto"/>
        <w:jc w:val="both"/>
        <w:rPr>
          <w:rFonts w:ascii="Gill Sans Std" w:hAnsi="Gill Sans Std"/>
          <w:color w:val="665D54"/>
          <w:sz w:val="24"/>
          <w:szCs w:val="24"/>
        </w:rPr>
      </w:pPr>
      <w:r w:rsidRPr="00251E42">
        <w:rPr>
          <w:rFonts w:ascii="Gill Sans Std" w:eastAsia="Gill Sans Std" w:hAnsi="Gill Sans Std" w:cs="Gill Sans Std"/>
          <w:color w:val="665D54"/>
          <w:sz w:val="24"/>
          <w:szCs w:val="24"/>
          <w:lang w:bidi="en-GB"/>
        </w:rPr>
        <w:t xml:space="preserve">The </w:t>
      </w:r>
      <w:r w:rsidRPr="00251E42">
        <w:rPr>
          <w:rFonts w:ascii="Gill Sans Std" w:eastAsia="Gill Sans Std" w:hAnsi="Gill Sans Std" w:cs="Gill Sans Std"/>
          <w:b/>
          <w:color w:val="665D54"/>
          <w:sz w:val="24"/>
          <w:szCs w:val="24"/>
          <w:lang w:bidi="en-GB"/>
        </w:rPr>
        <w:t>LCR</w:t>
      </w:r>
      <w:r w:rsidRPr="00251E42">
        <w:rPr>
          <w:rFonts w:ascii="Gill Sans Std" w:eastAsia="Gill Sans Std" w:hAnsi="Gill Sans Std" w:cs="Gill Sans Std"/>
          <w:color w:val="665D54"/>
          <w:sz w:val="24"/>
          <w:szCs w:val="24"/>
          <w:lang w:bidi="en-GB"/>
        </w:rPr>
        <w:t xml:space="preserve"> liquidity ratio was </w:t>
      </w:r>
      <w:r w:rsidR="008665F2" w:rsidRPr="00251E42">
        <w:rPr>
          <w:rFonts w:ascii="Gill Sans Std" w:eastAsia="Gill Sans Std" w:hAnsi="Gill Sans Std" w:cstheme="minorHAnsi"/>
          <w:b/>
          <w:color w:val="665D54"/>
          <w:sz w:val="24"/>
          <w:szCs w:val="24"/>
          <w:lang w:bidi="en-GB"/>
        </w:rPr>
        <w:t>108%</w:t>
      </w:r>
      <w:r w:rsidRPr="00251E42">
        <w:rPr>
          <w:rFonts w:ascii="Gill Sans Std" w:eastAsia="Gill Sans Std" w:hAnsi="Gill Sans Std" w:cstheme="minorHAnsi"/>
          <w:color w:val="665D54"/>
          <w:sz w:val="24"/>
          <w:szCs w:val="24"/>
          <w:lang w:bidi="en-GB"/>
        </w:rPr>
        <w:t xml:space="preserve"> at 31 December 2024, compared with the regulatory minimum requirement of 100%. BRED’s NSFR (net stable funding ratio) was 106% at 31</w:t>
      </w:r>
      <w:r w:rsidR="00B0245C">
        <w:rPr>
          <w:rFonts w:ascii="Gill Sans Std" w:eastAsia="Gill Sans Std" w:hAnsi="Gill Sans Std" w:cstheme="minorHAnsi"/>
          <w:color w:val="665D54"/>
          <w:sz w:val="24"/>
          <w:szCs w:val="24"/>
          <w:lang w:bidi="en-GB"/>
        </w:rPr>
        <w:t> </w:t>
      </w:r>
      <w:r w:rsidRPr="00251E42">
        <w:rPr>
          <w:rFonts w:ascii="Gill Sans Std" w:eastAsia="Gill Sans Std" w:hAnsi="Gill Sans Std" w:cstheme="minorHAnsi"/>
          <w:color w:val="665D54"/>
          <w:sz w:val="24"/>
          <w:szCs w:val="24"/>
          <w:lang w:bidi="en-GB"/>
        </w:rPr>
        <w:t>December</w:t>
      </w:r>
      <w:r w:rsidR="00B0245C">
        <w:rPr>
          <w:rFonts w:ascii="Gill Sans Std" w:eastAsia="Gill Sans Std" w:hAnsi="Gill Sans Std" w:cstheme="minorHAnsi"/>
          <w:color w:val="665D54"/>
          <w:sz w:val="24"/>
          <w:szCs w:val="24"/>
          <w:lang w:bidi="en-GB"/>
        </w:rPr>
        <w:t> </w:t>
      </w:r>
      <w:r w:rsidRPr="00251E42">
        <w:rPr>
          <w:rFonts w:ascii="Gill Sans Std" w:eastAsia="Gill Sans Std" w:hAnsi="Gill Sans Std" w:cstheme="minorHAnsi"/>
          <w:color w:val="665D54"/>
          <w:sz w:val="24"/>
          <w:szCs w:val="24"/>
          <w:lang w:bidi="en-GB"/>
        </w:rPr>
        <w:t>2024, compared with the regulatory minimum requirement of 100%.</w:t>
      </w:r>
    </w:p>
    <w:p w14:paraId="6F376782" w14:textId="77777777" w:rsidR="00780764" w:rsidRPr="00586A11" w:rsidRDefault="00780764" w:rsidP="008F7A8F">
      <w:pPr>
        <w:keepNext/>
        <w:spacing w:after="0" w:line="240" w:lineRule="auto"/>
        <w:jc w:val="both"/>
        <w:rPr>
          <w:rFonts w:ascii="Gill Sans Std" w:hAnsi="Gill Sans Std" w:cstheme="minorHAnsi"/>
          <w:color w:val="665D54"/>
          <w:sz w:val="24"/>
          <w:szCs w:val="24"/>
        </w:rPr>
      </w:pPr>
    </w:p>
    <w:p w14:paraId="569338B7" w14:textId="38E82F14" w:rsidR="00ED7933" w:rsidRPr="00586A11" w:rsidRDefault="00ED7933" w:rsidP="00D63198">
      <w:pPr>
        <w:spacing w:after="0" w:line="240" w:lineRule="auto"/>
        <w:rPr>
          <w:rFonts w:ascii="Gill Sans Std" w:hAnsi="Gill Sans Std"/>
          <w:b/>
          <w:noProof/>
          <w:color w:val="767171" w:themeColor="background2" w:themeShade="80"/>
          <w:sz w:val="32"/>
          <w:szCs w:val="32"/>
          <w:lang w:eastAsia="fr-FR"/>
        </w:rPr>
      </w:pPr>
    </w:p>
    <w:p w14:paraId="6408A7AE" w14:textId="2C074798" w:rsidR="00127409" w:rsidRPr="00586A11" w:rsidRDefault="00942C58" w:rsidP="00942C58">
      <w:pPr>
        <w:spacing w:after="0" w:line="240" w:lineRule="auto"/>
        <w:jc w:val="center"/>
        <w:rPr>
          <w:rFonts w:ascii="Gill Sans Std" w:hAnsi="Gill Sans Std"/>
          <w:b/>
          <w:color w:val="665D54"/>
          <w:sz w:val="28"/>
        </w:rPr>
      </w:pPr>
      <w:r w:rsidRPr="00586A11">
        <w:rPr>
          <w:rFonts w:ascii="Gill Sans Std" w:eastAsia="Gill Sans Std" w:hAnsi="Gill Sans Std" w:cs="Gill Sans Std"/>
          <w:b/>
          <w:color w:val="665D54"/>
          <w:sz w:val="28"/>
          <w:lang w:bidi="en-GB"/>
        </w:rPr>
        <w:t>BRED’s consolidated income statement</w:t>
      </w:r>
    </w:p>
    <w:p w14:paraId="1E101241" w14:textId="77777777" w:rsidR="00A74EF1" w:rsidRPr="00586A11" w:rsidRDefault="00A74EF1" w:rsidP="00942C58">
      <w:pPr>
        <w:spacing w:after="0" w:line="240" w:lineRule="auto"/>
        <w:jc w:val="center"/>
        <w:rPr>
          <w:rFonts w:ascii="Gill Sans Std" w:hAnsi="Gill Sans Std"/>
          <w:b/>
          <w:color w:val="665D54"/>
          <w:sz w:val="28"/>
        </w:rPr>
      </w:pPr>
    </w:p>
    <w:tbl>
      <w:tblPr>
        <w:tblW w:w="9160" w:type="dxa"/>
        <w:tblCellMar>
          <w:left w:w="70" w:type="dxa"/>
          <w:right w:w="70" w:type="dxa"/>
        </w:tblCellMar>
        <w:tblLook w:val="04A0" w:firstRow="1" w:lastRow="0" w:firstColumn="1" w:lastColumn="0" w:noHBand="0" w:noVBand="1"/>
      </w:tblPr>
      <w:tblGrid>
        <w:gridCol w:w="4940"/>
        <w:gridCol w:w="200"/>
        <w:gridCol w:w="1340"/>
        <w:gridCol w:w="1340"/>
        <w:gridCol w:w="1340"/>
      </w:tblGrid>
      <w:tr w:rsidR="00A74EF1" w:rsidRPr="00586A11" w14:paraId="55D10C91" w14:textId="77777777" w:rsidTr="00A74EF1">
        <w:trPr>
          <w:trHeight w:val="300"/>
        </w:trPr>
        <w:tc>
          <w:tcPr>
            <w:tcW w:w="4940" w:type="dxa"/>
            <w:tcBorders>
              <w:top w:val="nil"/>
              <w:left w:val="nil"/>
              <w:bottom w:val="single" w:sz="8" w:space="0" w:color="auto"/>
              <w:right w:val="nil"/>
            </w:tcBorders>
            <w:shd w:val="clear" w:color="000000" w:fill="FFFFFF"/>
            <w:vAlign w:val="center"/>
            <w:hideMark/>
          </w:tcPr>
          <w:p w14:paraId="41D8ED39" w14:textId="77777777" w:rsidR="00A74EF1" w:rsidRPr="00586A11" w:rsidRDefault="00A74EF1" w:rsidP="00A74EF1">
            <w:pPr>
              <w:spacing w:after="0" w:line="240" w:lineRule="auto"/>
              <w:rPr>
                <w:rFonts w:ascii="Gill Sans Std" w:eastAsia="Times New Roman" w:hAnsi="Gill Sans Std" w:cs="Calibri"/>
                <w:i/>
                <w:iCs/>
                <w:color w:val="000000"/>
                <w:sz w:val="18"/>
                <w:szCs w:val="18"/>
                <w:lang w:eastAsia="fr-FR"/>
              </w:rPr>
            </w:pPr>
            <w:r w:rsidRPr="00586A11">
              <w:rPr>
                <w:rFonts w:ascii="Gill Sans Std" w:eastAsia="Times New Roman" w:hAnsi="Gill Sans Std" w:cs="Calibri"/>
                <w:i/>
                <w:color w:val="000000"/>
                <w:sz w:val="18"/>
                <w:szCs w:val="18"/>
                <w:lang w:bidi="en-GB"/>
              </w:rPr>
              <w:t>Amounts in € millions</w:t>
            </w:r>
          </w:p>
        </w:tc>
        <w:tc>
          <w:tcPr>
            <w:tcW w:w="200" w:type="dxa"/>
            <w:tcBorders>
              <w:top w:val="nil"/>
              <w:left w:val="nil"/>
              <w:bottom w:val="nil"/>
              <w:right w:val="nil"/>
            </w:tcBorders>
            <w:shd w:val="clear" w:color="auto" w:fill="auto"/>
            <w:noWrap/>
            <w:vAlign w:val="center"/>
            <w:hideMark/>
          </w:tcPr>
          <w:p w14:paraId="3A116858" w14:textId="77777777" w:rsidR="00A74EF1" w:rsidRPr="00586A11" w:rsidRDefault="00A74EF1" w:rsidP="00A74EF1">
            <w:pPr>
              <w:spacing w:after="0" w:line="240" w:lineRule="auto"/>
              <w:rPr>
                <w:rFonts w:ascii="Gill Sans Std" w:eastAsia="Times New Roman" w:hAnsi="Gill Sans Std" w:cs="Calibri"/>
                <w:i/>
                <w:iCs/>
                <w:color w:val="000000"/>
                <w:sz w:val="18"/>
                <w:szCs w:val="18"/>
                <w:lang w:eastAsia="fr-FR"/>
              </w:rPr>
            </w:pPr>
          </w:p>
        </w:tc>
        <w:tc>
          <w:tcPr>
            <w:tcW w:w="1340" w:type="dxa"/>
            <w:tcBorders>
              <w:top w:val="nil"/>
              <w:left w:val="nil"/>
              <w:bottom w:val="nil"/>
              <w:right w:val="nil"/>
            </w:tcBorders>
            <w:shd w:val="clear" w:color="000000" w:fill="FFFFFF"/>
            <w:vAlign w:val="center"/>
            <w:hideMark/>
          </w:tcPr>
          <w:p w14:paraId="48DCBA21" w14:textId="77777777" w:rsidR="00A74EF1" w:rsidRPr="00586A11" w:rsidRDefault="00A74EF1" w:rsidP="00A74EF1">
            <w:pPr>
              <w:spacing w:after="0" w:line="240" w:lineRule="auto"/>
              <w:jc w:val="center"/>
              <w:rPr>
                <w:rFonts w:ascii="Gill Sans Std" w:eastAsia="Times New Roman" w:hAnsi="Gill Sans Std" w:cs="Calibri"/>
                <w:b/>
                <w:bCs/>
                <w:color w:val="000000"/>
                <w:lang w:eastAsia="fr-FR"/>
              </w:rPr>
            </w:pPr>
            <w:r w:rsidRPr="00586A11">
              <w:rPr>
                <w:rFonts w:ascii="Gill Sans Std" w:eastAsia="Times New Roman" w:hAnsi="Gill Sans Std" w:cs="Calibri"/>
                <w:b/>
                <w:color w:val="000000"/>
                <w:lang w:bidi="en-GB"/>
              </w:rPr>
              <w:t>2023</w:t>
            </w:r>
          </w:p>
        </w:tc>
        <w:tc>
          <w:tcPr>
            <w:tcW w:w="1340" w:type="dxa"/>
            <w:tcBorders>
              <w:top w:val="nil"/>
              <w:left w:val="nil"/>
              <w:bottom w:val="nil"/>
              <w:right w:val="nil"/>
            </w:tcBorders>
            <w:shd w:val="clear" w:color="000000" w:fill="FFFFFF"/>
            <w:vAlign w:val="center"/>
            <w:hideMark/>
          </w:tcPr>
          <w:p w14:paraId="56DD6CBD" w14:textId="77777777" w:rsidR="00A74EF1" w:rsidRPr="00586A11" w:rsidRDefault="00A74EF1" w:rsidP="00A74EF1">
            <w:pPr>
              <w:spacing w:after="0" w:line="240" w:lineRule="auto"/>
              <w:jc w:val="center"/>
              <w:rPr>
                <w:rFonts w:ascii="Gill Sans Std" w:eastAsia="Times New Roman" w:hAnsi="Gill Sans Std" w:cs="Calibri"/>
                <w:b/>
                <w:bCs/>
                <w:color w:val="000000"/>
                <w:lang w:eastAsia="fr-FR"/>
              </w:rPr>
            </w:pPr>
            <w:r w:rsidRPr="00586A11">
              <w:rPr>
                <w:rFonts w:ascii="Gill Sans Std" w:eastAsia="Times New Roman" w:hAnsi="Gill Sans Std" w:cs="Calibri"/>
                <w:b/>
                <w:color w:val="000000"/>
                <w:lang w:bidi="en-GB"/>
              </w:rPr>
              <w:t>2024</w:t>
            </w:r>
          </w:p>
        </w:tc>
        <w:tc>
          <w:tcPr>
            <w:tcW w:w="1340" w:type="dxa"/>
            <w:tcBorders>
              <w:top w:val="nil"/>
              <w:left w:val="nil"/>
              <w:bottom w:val="nil"/>
              <w:right w:val="nil"/>
            </w:tcBorders>
            <w:shd w:val="clear" w:color="000000" w:fill="FFFFFF"/>
            <w:vAlign w:val="center"/>
            <w:hideMark/>
          </w:tcPr>
          <w:p w14:paraId="07A165F5" w14:textId="77777777" w:rsidR="00A74EF1" w:rsidRPr="00586A11" w:rsidRDefault="00A74EF1" w:rsidP="00A74EF1">
            <w:pPr>
              <w:spacing w:after="0" w:line="240" w:lineRule="auto"/>
              <w:jc w:val="center"/>
              <w:rPr>
                <w:rFonts w:ascii="Gill Sans Std" w:eastAsia="Times New Roman" w:hAnsi="Gill Sans Std" w:cs="Calibri"/>
                <w:b/>
                <w:bCs/>
                <w:color w:val="000000"/>
                <w:lang w:eastAsia="fr-FR"/>
              </w:rPr>
            </w:pPr>
            <w:r w:rsidRPr="00586A11">
              <w:rPr>
                <w:rFonts w:ascii="Gill Sans Std" w:eastAsia="Times New Roman" w:hAnsi="Gill Sans Std" w:cs="Calibri"/>
                <w:b/>
                <w:color w:val="000000"/>
                <w:lang w:bidi="en-GB"/>
              </w:rPr>
              <w:t>Change</w:t>
            </w:r>
          </w:p>
        </w:tc>
      </w:tr>
      <w:tr w:rsidR="00A74EF1" w:rsidRPr="00586A11" w14:paraId="11584886" w14:textId="77777777" w:rsidTr="00A74EF1">
        <w:trPr>
          <w:trHeight w:val="324"/>
        </w:trPr>
        <w:tc>
          <w:tcPr>
            <w:tcW w:w="4940" w:type="dxa"/>
            <w:tcBorders>
              <w:top w:val="nil"/>
              <w:left w:val="single" w:sz="8" w:space="0" w:color="auto"/>
              <w:bottom w:val="single" w:sz="8" w:space="0" w:color="auto"/>
              <w:right w:val="single" w:sz="8" w:space="0" w:color="auto"/>
            </w:tcBorders>
            <w:shd w:val="clear" w:color="000000" w:fill="636362"/>
            <w:noWrap/>
            <w:vAlign w:val="center"/>
            <w:hideMark/>
          </w:tcPr>
          <w:p w14:paraId="4FDC0917"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NET BANKING INCOME</w:t>
            </w:r>
          </w:p>
        </w:tc>
        <w:tc>
          <w:tcPr>
            <w:tcW w:w="200" w:type="dxa"/>
            <w:tcBorders>
              <w:top w:val="nil"/>
              <w:left w:val="nil"/>
              <w:bottom w:val="nil"/>
              <w:right w:val="nil"/>
            </w:tcBorders>
            <w:shd w:val="clear" w:color="auto" w:fill="auto"/>
            <w:noWrap/>
            <w:vAlign w:val="center"/>
            <w:hideMark/>
          </w:tcPr>
          <w:p w14:paraId="47559F35"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636362"/>
            <w:noWrap/>
            <w:vAlign w:val="center"/>
            <w:hideMark/>
          </w:tcPr>
          <w:p w14:paraId="3AC984A7"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1,336.3</w:t>
            </w:r>
          </w:p>
        </w:tc>
        <w:tc>
          <w:tcPr>
            <w:tcW w:w="1340" w:type="dxa"/>
            <w:tcBorders>
              <w:top w:val="single" w:sz="8" w:space="0" w:color="auto"/>
              <w:left w:val="nil"/>
              <w:bottom w:val="single" w:sz="8" w:space="0" w:color="auto"/>
              <w:right w:val="single" w:sz="8" w:space="0" w:color="auto"/>
            </w:tcBorders>
            <w:shd w:val="clear" w:color="000000" w:fill="636362"/>
            <w:noWrap/>
            <w:vAlign w:val="center"/>
            <w:hideMark/>
          </w:tcPr>
          <w:p w14:paraId="5FF2D0AF"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1,468.0</w:t>
            </w:r>
          </w:p>
        </w:tc>
        <w:tc>
          <w:tcPr>
            <w:tcW w:w="1340" w:type="dxa"/>
            <w:tcBorders>
              <w:top w:val="single" w:sz="8" w:space="0" w:color="auto"/>
              <w:left w:val="nil"/>
              <w:bottom w:val="single" w:sz="8" w:space="0" w:color="auto"/>
              <w:right w:val="nil"/>
            </w:tcBorders>
            <w:shd w:val="clear" w:color="000000" w:fill="636362"/>
            <w:noWrap/>
            <w:vAlign w:val="center"/>
            <w:hideMark/>
          </w:tcPr>
          <w:p w14:paraId="013CB780" w14:textId="7C1107E2"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+9.9%</w:t>
            </w:r>
          </w:p>
        </w:tc>
      </w:tr>
      <w:tr w:rsidR="00A74EF1" w:rsidRPr="00586A11" w14:paraId="6E7F3D32"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02E2F7CE"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58493E83"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0CF01148"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70D3B63E"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0503667B"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26C7A720"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0086B4"/>
            <w:noWrap/>
            <w:vAlign w:val="center"/>
            <w:hideMark/>
          </w:tcPr>
          <w:p w14:paraId="225B9011"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TOTAL EXPENSES</w:t>
            </w:r>
          </w:p>
        </w:tc>
        <w:tc>
          <w:tcPr>
            <w:tcW w:w="200" w:type="dxa"/>
            <w:tcBorders>
              <w:top w:val="nil"/>
              <w:left w:val="nil"/>
              <w:bottom w:val="nil"/>
              <w:right w:val="nil"/>
            </w:tcBorders>
            <w:shd w:val="clear" w:color="auto" w:fill="auto"/>
            <w:noWrap/>
            <w:vAlign w:val="center"/>
            <w:hideMark/>
          </w:tcPr>
          <w:p w14:paraId="2DB29B0B"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0086B4"/>
            <w:noWrap/>
            <w:vAlign w:val="center"/>
            <w:hideMark/>
          </w:tcPr>
          <w:p w14:paraId="37F2B7AF" w14:textId="2C6333E1"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-822,5</w:t>
            </w:r>
          </w:p>
        </w:tc>
        <w:tc>
          <w:tcPr>
            <w:tcW w:w="1340" w:type="dxa"/>
            <w:tcBorders>
              <w:top w:val="single" w:sz="8" w:space="0" w:color="auto"/>
              <w:left w:val="nil"/>
              <w:bottom w:val="single" w:sz="8" w:space="0" w:color="auto"/>
              <w:right w:val="single" w:sz="8" w:space="0" w:color="auto"/>
            </w:tcBorders>
            <w:shd w:val="clear" w:color="000000" w:fill="0086B4"/>
            <w:noWrap/>
            <w:vAlign w:val="center"/>
            <w:hideMark/>
          </w:tcPr>
          <w:p w14:paraId="757D815F" w14:textId="0F613576"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-835.2</w:t>
            </w:r>
          </w:p>
        </w:tc>
        <w:tc>
          <w:tcPr>
            <w:tcW w:w="1340" w:type="dxa"/>
            <w:tcBorders>
              <w:top w:val="nil"/>
              <w:left w:val="nil"/>
              <w:bottom w:val="single" w:sz="8" w:space="0" w:color="auto"/>
              <w:right w:val="single" w:sz="8" w:space="0" w:color="auto"/>
            </w:tcBorders>
            <w:shd w:val="clear" w:color="000000" w:fill="0086B4"/>
            <w:noWrap/>
            <w:vAlign w:val="center"/>
            <w:hideMark/>
          </w:tcPr>
          <w:p w14:paraId="6AD920AE" w14:textId="2490C431"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+1.5%</w:t>
            </w:r>
          </w:p>
        </w:tc>
      </w:tr>
      <w:tr w:rsidR="00A74EF1" w:rsidRPr="00586A11" w14:paraId="55FEA362"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54635077"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0112B6E8"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45FF954F"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790FC5EC"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6D28EC50"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5D4975C4"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0086B4"/>
            <w:noWrap/>
            <w:vAlign w:val="center"/>
            <w:hideMark/>
          </w:tcPr>
          <w:p w14:paraId="24CEDD37"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GROSS OPERATING PROFIT</w:t>
            </w:r>
          </w:p>
        </w:tc>
        <w:tc>
          <w:tcPr>
            <w:tcW w:w="200" w:type="dxa"/>
            <w:tcBorders>
              <w:top w:val="nil"/>
              <w:left w:val="nil"/>
              <w:bottom w:val="nil"/>
              <w:right w:val="nil"/>
            </w:tcBorders>
            <w:shd w:val="clear" w:color="auto" w:fill="auto"/>
            <w:noWrap/>
            <w:vAlign w:val="center"/>
            <w:hideMark/>
          </w:tcPr>
          <w:p w14:paraId="2F094F10"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0086B4"/>
            <w:noWrap/>
            <w:vAlign w:val="center"/>
            <w:hideMark/>
          </w:tcPr>
          <w:p w14:paraId="132AE89D"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513.8</w:t>
            </w:r>
          </w:p>
        </w:tc>
        <w:tc>
          <w:tcPr>
            <w:tcW w:w="1340" w:type="dxa"/>
            <w:tcBorders>
              <w:top w:val="single" w:sz="8" w:space="0" w:color="auto"/>
              <w:left w:val="nil"/>
              <w:bottom w:val="single" w:sz="8" w:space="0" w:color="auto"/>
              <w:right w:val="single" w:sz="8" w:space="0" w:color="auto"/>
            </w:tcBorders>
            <w:shd w:val="clear" w:color="000000" w:fill="0086B4"/>
            <w:noWrap/>
            <w:vAlign w:val="center"/>
            <w:hideMark/>
          </w:tcPr>
          <w:p w14:paraId="702A93AB"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632.7</w:t>
            </w:r>
          </w:p>
        </w:tc>
        <w:tc>
          <w:tcPr>
            <w:tcW w:w="1340" w:type="dxa"/>
            <w:tcBorders>
              <w:top w:val="nil"/>
              <w:left w:val="nil"/>
              <w:bottom w:val="single" w:sz="8" w:space="0" w:color="auto"/>
              <w:right w:val="single" w:sz="8" w:space="0" w:color="auto"/>
            </w:tcBorders>
            <w:shd w:val="clear" w:color="000000" w:fill="0086B4"/>
            <w:noWrap/>
            <w:vAlign w:val="center"/>
            <w:hideMark/>
          </w:tcPr>
          <w:p w14:paraId="2C6FEFA6" w14:textId="4F80502A"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+23.2%</w:t>
            </w:r>
          </w:p>
        </w:tc>
      </w:tr>
      <w:tr w:rsidR="00A74EF1" w:rsidRPr="00586A11" w14:paraId="599EB0D1"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6637BE76"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0392A20B"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2B5F2610"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7C43F1C6"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559F4173"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0796D61F" w14:textId="77777777" w:rsidTr="00A74EF1">
        <w:trPr>
          <w:trHeight w:val="288"/>
        </w:trPr>
        <w:tc>
          <w:tcPr>
            <w:tcW w:w="4940" w:type="dxa"/>
            <w:tcBorders>
              <w:top w:val="nil"/>
              <w:left w:val="single" w:sz="8" w:space="0" w:color="auto"/>
              <w:bottom w:val="single" w:sz="8" w:space="0" w:color="auto"/>
              <w:right w:val="single" w:sz="8" w:space="0" w:color="auto"/>
            </w:tcBorders>
            <w:shd w:val="clear" w:color="000000" w:fill="FFFFFF"/>
            <w:noWrap/>
            <w:vAlign w:val="center"/>
            <w:hideMark/>
          </w:tcPr>
          <w:p w14:paraId="37F22C2D"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Cost/income ratio</w:t>
            </w:r>
          </w:p>
        </w:tc>
        <w:tc>
          <w:tcPr>
            <w:tcW w:w="200" w:type="dxa"/>
            <w:tcBorders>
              <w:top w:val="nil"/>
              <w:left w:val="nil"/>
              <w:bottom w:val="nil"/>
              <w:right w:val="single" w:sz="8" w:space="0" w:color="auto"/>
            </w:tcBorders>
            <w:shd w:val="clear" w:color="auto" w:fill="auto"/>
            <w:noWrap/>
            <w:vAlign w:val="center"/>
            <w:hideMark/>
          </w:tcPr>
          <w:p w14:paraId="6095838D"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62E4A3D1"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61.6%</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786D82D5"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56.9%</w:t>
            </w:r>
          </w:p>
        </w:tc>
        <w:tc>
          <w:tcPr>
            <w:tcW w:w="1340" w:type="dxa"/>
            <w:tcBorders>
              <w:top w:val="nil"/>
              <w:left w:val="nil"/>
              <w:bottom w:val="single" w:sz="8" w:space="0" w:color="auto"/>
              <w:right w:val="single" w:sz="8" w:space="0" w:color="auto"/>
            </w:tcBorders>
            <w:shd w:val="clear" w:color="000000" w:fill="FFFFFF"/>
            <w:noWrap/>
            <w:vAlign w:val="center"/>
            <w:hideMark/>
          </w:tcPr>
          <w:p w14:paraId="1C411387"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-4.7 pp</w:t>
            </w:r>
          </w:p>
        </w:tc>
      </w:tr>
      <w:tr w:rsidR="00A74EF1" w:rsidRPr="00586A11" w14:paraId="3BF0DAA4"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40A11FF4"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0053B26E"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25F0D0D2"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2287DE3C"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516572C5"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41AAB6CC"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0086B4"/>
            <w:noWrap/>
            <w:vAlign w:val="center"/>
            <w:hideMark/>
          </w:tcPr>
          <w:p w14:paraId="22008EB6"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COST OF RISK</w:t>
            </w:r>
          </w:p>
        </w:tc>
        <w:tc>
          <w:tcPr>
            <w:tcW w:w="200" w:type="dxa"/>
            <w:tcBorders>
              <w:top w:val="nil"/>
              <w:left w:val="nil"/>
              <w:bottom w:val="nil"/>
              <w:right w:val="nil"/>
            </w:tcBorders>
            <w:shd w:val="clear" w:color="auto" w:fill="auto"/>
            <w:noWrap/>
            <w:vAlign w:val="center"/>
            <w:hideMark/>
          </w:tcPr>
          <w:p w14:paraId="0A6F9A63"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0086B4"/>
            <w:noWrap/>
            <w:vAlign w:val="center"/>
            <w:hideMark/>
          </w:tcPr>
          <w:p w14:paraId="76827944" w14:textId="74C9FAAE"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-103.6</w:t>
            </w:r>
          </w:p>
        </w:tc>
        <w:tc>
          <w:tcPr>
            <w:tcW w:w="1340" w:type="dxa"/>
            <w:tcBorders>
              <w:top w:val="single" w:sz="8" w:space="0" w:color="auto"/>
              <w:left w:val="nil"/>
              <w:bottom w:val="single" w:sz="8" w:space="0" w:color="auto"/>
              <w:right w:val="single" w:sz="8" w:space="0" w:color="auto"/>
            </w:tcBorders>
            <w:shd w:val="clear" w:color="000000" w:fill="0086B4"/>
            <w:noWrap/>
            <w:vAlign w:val="center"/>
            <w:hideMark/>
          </w:tcPr>
          <w:p w14:paraId="0673137A" w14:textId="1F4CA931"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-195.5</w:t>
            </w:r>
          </w:p>
        </w:tc>
        <w:tc>
          <w:tcPr>
            <w:tcW w:w="1340" w:type="dxa"/>
            <w:tcBorders>
              <w:top w:val="nil"/>
              <w:left w:val="nil"/>
              <w:bottom w:val="single" w:sz="8" w:space="0" w:color="auto"/>
              <w:right w:val="single" w:sz="8" w:space="0" w:color="auto"/>
            </w:tcBorders>
            <w:shd w:val="clear" w:color="000000" w:fill="0086B4"/>
            <w:noWrap/>
            <w:vAlign w:val="center"/>
            <w:hideMark/>
          </w:tcPr>
          <w:p w14:paraId="07BEE6D9" w14:textId="3F27AFE4"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+88.7%</w:t>
            </w:r>
          </w:p>
        </w:tc>
      </w:tr>
      <w:tr w:rsidR="00A74EF1" w:rsidRPr="00586A11" w14:paraId="4BE43610"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4D339124"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4E53F489"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05D8F92D"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6FDBD8CF"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60197682"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4DACE69F"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0086B4"/>
            <w:noWrap/>
            <w:vAlign w:val="center"/>
            <w:hideMark/>
          </w:tcPr>
          <w:p w14:paraId="0CFADFAE"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OPERATING PROFIT</w:t>
            </w:r>
          </w:p>
        </w:tc>
        <w:tc>
          <w:tcPr>
            <w:tcW w:w="200" w:type="dxa"/>
            <w:tcBorders>
              <w:top w:val="nil"/>
              <w:left w:val="nil"/>
              <w:bottom w:val="nil"/>
              <w:right w:val="nil"/>
            </w:tcBorders>
            <w:shd w:val="clear" w:color="auto" w:fill="auto"/>
            <w:noWrap/>
            <w:vAlign w:val="center"/>
            <w:hideMark/>
          </w:tcPr>
          <w:p w14:paraId="0F63BDDA"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0086B4"/>
            <w:noWrap/>
            <w:vAlign w:val="center"/>
            <w:hideMark/>
          </w:tcPr>
          <w:p w14:paraId="00770B0C"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410.1</w:t>
            </w:r>
          </w:p>
        </w:tc>
        <w:tc>
          <w:tcPr>
            <w:tcW w:w="1340" w:type="dxa"/>
            <w:tcBorders>
              <w:top w:val="single" w:sz="8" w:space="0" w:color="auto"/>
              <w:left w:val="nil"/>
              <w:bottom w:val="single" w:sz="8" w:space="0" w:color="auto"/>
              <w:right w:val="single" w:sz="8" w:space="0" w:color="auto"/>
            </w:tcBorders>
            <w:shd w:val="clear" w:color="000000" w:fill="0086B4"/>
            <w:noWrap/>
            <w:vAlign w:val="center"/>
            <w:hideMark/>
          </w:tcPr>
          <w:p w14:paraId="71EF7D55"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437.2</w:t>
            </w:r>
          </w:p>
        </w:tc>
        <w:tc>
          <w:tcPr>
            <w:tcW w:w="1340" w:type="dxa"/>
            <w:tcBorders>
              <w:top w:val="nil"/>
              <w:left w:val="nil"/>
              <w:bottom w:val="single" w:sz="8" w:space="0" w:color="auto"/>
              <w:right w:val="single" w:sz="8" w:space="0" w:color="auto"/>
            </w:tcBorders>
            <w:shd w:val="clear" w:color="000000" w:fill="0086B4"/>
            <w:noWrap/>
            <w:vAlign w:val="center"/>
            <w:hideMark/>
          </w:tcPr>
          <w:p w14:paraId="0BA82C01" w14:textId="62DBBA45"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+6.6%</w:t>
            </w:r>
          </w:p>
        </w:tc>
      </w:tr>
      <w:tr w:rsidR="00A74EF1" w:rsidRPr="00586A11" w14:paraId="519A0D0B"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7D184DCE"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286DD531"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18988E4C"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2F97B6C1"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6A4AC5FB"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73EEFB2D" w14:textId="77777777" w:rsidTr="00A74EF1">
        <w:trPr>
          <w:trHeight w:val="288"/>
        </w:trPr>
        <w:tc>
          <w:tcPr>
            <w:tcW w:w="4940" w:type="dxa"/>
            <w:tcBorders>
              <w:top w:val="nil"/>
              <w:left w:val="single" w:sz="8" w:space="0" w:color="auto"/>
              <w:bottom w:val="nil"/>
              <w:right w:val="single" w:sz="8" w:space="0" w:color="auto"/>
            </w:tcBorders>
            <w:shd w:val="clear" w:color="000000" w:fill="FFFFFF"/>
            <w:noWrap/>
            <w:vAlign w:val="center"/>
            <w:hideMark/>
          </w:tcPr>
          <w:p w14:paraId="1DF33730"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Share of equity-accounted companies</w:t>
            </w:r>
          </w:p>
        </w:tc>
        <w:tc>
          <w:tcPr>
            <w:tcW w:w="200" w:type="dxa"/>
            <w:tcBorders>
              <w:top w:val="nil"/>
              <w:left w:val="nil"/>
              <w:bottom w:val="nil"/>
              <w:right w:val="nil"/>
            </w:tcBorders>
            <w:shd w:val="clear" w:color="auto" w:fill="auto"/>
            <w:noWrap/>
            <w:vAlign w:val="center"/>
            <w:hideMark/>
          </w:tcPr>
          <w:p w14:paraId="1698FE43"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single" w:sz="8" w:space="0" w:color="auto"/>
              <w:left w:val="single" w:sz="8" w:space="0" w:color="auto"/>
              <w:bottom w:val="nil"/>
              <w:right w:val="single" w:sz="8" w:space="0" w:color="auto"/>
            </w:tcBorders>
            <w:shd w:val="clear" w:color="000000" w:fill="FFFFFF"/>
            <w:noWrap/>
            <w:vAlign w:val="center"/>
            <w:hideMark/>
          </w:tcPr>
          <w:p w14:paraId="065F114E"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31.0</w:t>
            </w:r>
          </w:p>
        </w:tc>
        <w:tc>
          <w:tcPr>
            <w:tcW w:w="1340" w:type="dxa"/>
            <w:tcBorders>
              <w:top w:val="single" w:sz="8" w:space="0" w:color="auto"/>
              <w:left w:val="nil"/>
              <w:bottom w:val="nil"/>
              <w:right w:val="nil"/>
            </w:tcBorders>
            <w:shd w:val="clear" w:color="000000" w:fill="FFFFFF"/>
            <w:noWrap/>
            <w:vAlign w:val="center"/>
            <w:hideMark/>
          </w:tcPr>
          <w:p w14:paraId="0827A353"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17.1</w:t>
            </w:r>
          </w:p>
        </w:tc>
        <w:tc>
          <w:tcPr>
            <w:tcW w:w="1340" w:type="dxa"/>
            <w:tcBorders>
              <w:top w:val="nil"/>
              <w:left w:val="single" w:sz="8" w:space="0" w:color="auto"/>
              <w:bottom w:val="nil"/>
              <w:right w:val="single" w:sz="8" w:space="0" w:color="auto"/>
            </w:tcBorders>
            <w:shd w:val="clear" w:color="000000" w:fill="FFFFFF"/>
            <w:noWrap/>
            <w:vAlign w:val="center"/>
            <w:hideMark/>
          </w:tcPr>
          <w:p w14:paraId="73B14D4A" w14:textId="743EDBDB"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-45.0%</w:t>
            </w:r>
          </w:p>
        </w:tc>
      </w:tr>
      <w:tr w:rsidR="00A74EF1" w:rsidRPr="00586A11" w14:paraId="01AEE6AC" w14:textId="77777777" w:rsidTr="00A74EF1">
        <w:trPr>
          <w:trHeight w:val="492"/>
        </w:trPr>
        <w:tc>
          <w:tcPr>
            <w:tcW w:w="4940" w:type="dxa"/>
            <w:tcBorders>
              <w:top w:val="nil"/>
              <w:left w:val="single" w:sz="8" w:space="0" w:color="auto"/>
              <w:bottom w:val="single" w:sz="8" w:space="0" w:color="auto"/>
              <w:right w:val="single" w:sz="8" w:space="0" w:color="auto"/>
            </w:tcBorders>
            <w:shd w:val="clear" w:color="000000" w:fill="FFFFFF"/>
            <w:vAlign w:val="center"/>
            <w:hideMark/>
          </w:tcPr>
          <w:p w14:paraId="3226F1BF"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Gains or losses on other assets and change in value of goodwill</w:t>
            </w:r>
          </w:p>
        </w:tc>
        <w:tc>
          <w:tcPr>
            <w:tcW w:w="200" w:type="dxa"/>
            <w:tcBorders>
              <w:top w:val="nil"/>
              <w:left w:val="nil"/>
              <w:bottom w:val="nil"/>
              <w:right w:val="nil"/>
            </w:tcBorders>
            <w:shd w:val="clear" w:color="auto" w:fill="auto"/>
            <w:noWrap/>
            <w:vAlign w:val="center"/>
            <w:hideMark/>
          </w:tcPr>
          <w:p w14:paraId="1B1504BB"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10633355"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0.8</w:t>
            </w:r>
          </w:p>
        </w:tc>
        <w:tc>
          <w:tcPr>
            <w:tcW w:w="1340" w:type="dxa"/>
            <w:tcBorders>
              <w:top w:val="nil"/>
              <w:left w:val="nil"/>
              <w:bottom w:val="single" w:sz="8" w:space="0" w:color="auto"/>
              <w:right w:val="nil"/>
            </w:tcBorders>
            <w:shd w:val="clear" w:color="000000" w:fill="FFFFFF"/>
            <w:noWrap/>
            <w:vAlign w:val="center"/>
            <w:hideMark/>
          </w:tcPr>
          <w:p w14:paraId="48B4FC99"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33.9</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624B66AD"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N/A</w:t>
            </w:r>
          </w:p>
        </w:tc>
      </w:tr>
      <w:tr w:rsidR="00A74EF1" w:rsidRPr="00586A11" w14:paraId="7A1D20D3"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2DD41693"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3C72C0D3"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195C2AB5"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7FDF233D"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2E57D1EC"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60B482E0"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0086B4"/>
            <w:noWrap/>
            <w:vAlign w:val="center"/>
            <w:hideMark/>
          </w:tcPr>
          <w:p w14:paraId="4A81338A"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PRE-TAX PROFIT ON ORDINARY ACTIVITIES</w:t>
            </w:r>
          </w:p>
        </w:tc>
        <w:tc>
          <w:tcPr>
            <w:tcW w:w="200" w:type="dxa"/>
            <w:tcBorders>
              <w:top w:val="nil"/>
              <w:left w:val="nil"/>
              <w:bottom w:val="nil"/>
              <w:right w:val="nil"/>
            </w:tcBorders>
            <w:shd w:val="clear" w:color="auto" w:fill="auto"/>
            <w:noWrap/>
            <w:vAlign w:val="center"/>
            <w:hideMark/>
          </w:tcPr>
          <w:p w14:paraId="59A31CC2"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0086B4"/>
            <w:noWrap/>
            <w:vAlign w:val="center"/>
            <w:hideMark/>
          </w:tcPr>
          <w:p w14:paraId="61932055" w14:textId="2EA5DEDB"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442.0</w:t>
            </w:r>
          </w:p>
        </w:tc>
        <w:tc>
          <w:tcPr>
            <w:tcW w:w="1340" w:type="dxa"/>
            <w:tcBorders>
              <w:top w:val="single" w:sz="8" w:space="0" w:color="auto"/>
              <w:left w:val="nil"/>
              <w:bottom w:val="single" w:sz="8" w:space="0" w:color="auto"/>
              <w:right w:val="single" w:sz="8" w:space="0" w:color="auto"/>
            </w:tcBorders>
            <w:shd w:val="clear" w:color="000000" w:fill="0086B4"/>
            <w:noWrap/>
            <w:vAlign w:val="center"/>
            <w:hideMark/>
          </w:tcPr>
          <w:p w14:paraId="644C3F42"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488.2</w:t>
            </w:r>
          </w:p>
        </w:tc>
        <w:tc>
          <w:tcPr>
            <w:tcW w:w="1340" w:type="dxa"/>
            <w:tcBorders>
              <w:top w:val="nil"/>
              <w:left w:val="nil"/>
              <w:bottom w:val="single" w:sz="8" w:space="0" w:color="auto"/>
              <w:right w:val="single" w:sz="8" w:space="0" w:color="auto"/>
            </w:tcBorders>
            <w:shd w:val="clear" w:color="000000" w:fill="0086B4"/>
            <w:noWrap/>
            <w:vAlign w:val="center"/>
            <w:hideMark/>
          </w:tcPr>
          <w:p w14:paraId="5C23B3C5" w14:textId="42D88645"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+10.5%</w:t>
            </w:r>
          </w:p>
        </w:tc>
      </w:tr>
      <w:tr w:rsidR="00A74EF1" w:rsidRPr="00586A11" w14:paraId="777AC318"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080DC450"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1330EAFC"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56B388AE"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408F71D3"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5A0E73BB"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27CFEBF8"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FFFFFF"/>
            <w:noWrap/>
            <w:vAlign w:val="center"/>
            <w:hideMark/>
          </w:tcPr>
          <w:p w14:paraId="3B9B5AB8"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Income tax</w:t>
            </w:r>
          </w:p>
        </w:tc>
        <w:tc>
          <w:tcPr>
            <w:tcW w:w="200" w:type="dxa"/>
            <w:tcBorders>
              <w:top w:val="nil"/>
              <w:left w:val="nil"/>
              <w:bottom w:val="nil"/>
              <w:right w:val="nil"/>
            </w:tcBorders>
            <w:shd w:val="clear" w:color="auto" w:fill="auto"/>
            <w:noWrap/>
            <w:vAlign w:val="center"/>
            <w:hideMark/>
          </w:tcPr>
          <w:p w14:paraId="51F40701"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9BD9A1E" w14:textId="03A2CB0B"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-109.4</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19CE21D4" w14:textId="5B036E8D"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-90.8</w:t>
            </w:r>
          </w:p>
        </w:tc>
        <w:tc>
          <w:tcPr>
            <w:tcW w:w="1340" w:type="dxa"/>
            <w:tcBorders>
              <w:top w:val="nil"/>
              <w:left w:val="nil"/>
              <w:bottom w:val="single" w:sz="8" w:space="0" w:color="auto"/>
              <w:right w:val="single" w:sz="8" w:space="0" w:color="auto"/>
            </w:tcBorders>
            <w:shd w:val="clear" w:color="000000" w:fill="FFFFFF"/>
            <w:noWrap/>
            <w:vAlign w:val="center"/>
            <w:hideMark/>
          </w:tcPr>
          <w:p w14:paraId="13F48CF2" w14:textId="6F6B88C9"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-17.0%</w:t>
            </w:r>
          </w:p>
        </w:tc>
      </w:tr>
      <w:tr w:rsidR="00A74EF1" w:rsidRPr="00586A11" w14:paraId="11FCD9C5"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6E9C4A94"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7CE60686"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1F953F23"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3BA3F051"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1B471BA9"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2C5B2335"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0086B4"/>
            <w:noWrap/>
            <w:vAlign w:val="center"/>
            <w:hideMark/>
          </w:tcPr>
          <w:p w14:paraId="2C3B16F6"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NET INCOME</w:t>
            </w:r>
          </w:p>
        </w:tc>
        <w:tc>
          <w:tcPr>
            <w:tcW w:w="200" w:type="dxa"/>
            <w:tcBorders>
              <w:top w:val="nil"/>
              <w:left w:val="nil"/>
              <w:bottom w:val="nil"/>
              <w:right w:val="nil"/>
            </w:tcBorders>
            <w:shd w:val="clear" w:color="auto" w:fill="auto"/>
            <w:noWrap/>
            <w:vAlign w:val="center"/>
            <w:hideMark/>
          </w:tcPr>
          <w:p w14:paraId="71EC9E47"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0086B4"/>
            <w:noWrap/>
            <w:vAlign w:val="center"/>
            <w:hideMark/>
          </w:tcPr>
          <w:p w14:paraId="1D80EB80"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332.5</w:t>
            </w:r>
          </w:p>
        </w:tc>
        <w:tc>
          <w:tcPr>
            <w:tcW w:w="1340" w:type="dxa"/>
            <w:tcBorders>
              <w:top w:val="single" w:sz="8" w:space="0" w:color="auto"/>
              <w:left w:val="nil"/>
              <w:bottom w:val="single" w:sz="8" w:space="0" w:color="auto"/>
              <w:right w:val="single" w:sz="8" w:space="0" w:color="auto"/>
            </w:tcBorders>
            <w:shd w:val="clear" w:color="000000" w:fill="0086B4"/>
            <w:noWrap/>
            <w:vAlign w:val="center"/>
            <w:hideMark/>
          </w:tcPr>
          <w:p w14:paraId="75D761F1"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397.4</w:t>
            </w:r>
          </w:p>
        </w:tc>
        <w:tc>
          <w:tcPr>
            <w:tcW w:w="1340" w:type="dxa"/>
            <w:tcBorders>
              <w:top w:val="nil"/>
              <w:left w:val="nil"/>
              <w:bottom w:val="single" w:sz="8" w:space="0" w:color="auto"/>
              <w:right w:val="single" w:sz="8" w:space="0" w:color="auto"/>
            </w:tcBorders>
            <w:shd w:val="clear" w:color="000000" w:fill="0086B4"/>
            <w:noWrap/>
            <w:vAlign w:val="center"/>
            <w:hideMark/>
          </w:tcPr>
          <w:p w14:paraId="62D54F96" w14:textId="7F9D580D"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+19.5%</w:t>
            </w:r>
          </w:p>
        </w:tc>
      </w:tr>
      <w:tr w:rsidR="00A74EF1" w:rsidRPr="00586A11" w14:paraId="5BFC0901"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3F626971"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3D73EEF0"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23A253B1"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2571735C"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0C6363E5"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7F7A77A3"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FFFFFF"/>
            <w:noWrap/>
            <w:vAlign w:val="center"/>
            <w:hideMark/>
          </w:tcPr>
          <w:p w14:paraId="6EF249C5"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Minority interests</w:t>
            </w:r>
          </w:p>
        </w:tc>
        <w:tc>
          <w:tcPr>
            <w:tcW w:w="200" w:type="dxa"/>
            <w:tcBorders>
              <w:top w:val="nil"/>
              <w:left w:val="nil"/>
              <w:bottom w:val="nil"/>
              <w:right w:val="nil"/>
            </w:tcBorders>
            <w:shd w:val="clear" w:color="auto" w:fill="auto"/>
            <w:noWrap/>
            <w:vAlign w:val="center"/>
            <w:hideMark/>
          </w:tcPr>
          <w:p w14:paraId="600505AC"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BB7821C" w14:textId="175412C8"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-13.4</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0A0731DC" w14:textId="2DB50871"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-6.4</w:t>
            </w:r>
          </w:p>
        </w:tc>
        <w:tc>
          <w:tcPr>
            <w:tcW w:w="1340" w:type="dxa"/>
            <w:tcBorders>
              <w:top w:val="nil"/>
              <w:left w:val="nil"/>
              <w:bottom w:val="single" w:sz="8" w:space="0" w:color="auto"/>
              <w:right w:val="single" w:sz="8" w:space="0" w:color="auto"/>
            </w:tcBorders>
            <w:shd w:val="clear" w:color="000000" w:fill="FFFFFF"/>
            <w:noWrap/>
            <w:vAlign w:val="center"/>
            <w:hideMark/>
          </w:tcPr>
          <w:p w14:paraId="5110758D" w14:textId="0803FC00"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-52.2%</w:t>
            </w:r>
          </w:p>
        </w:tc>
      </w:tr>
      <w:tr w:rsidR="00A74EF1" w:rsidRPr="00586A11" w14:paraId="00BEB411" w14:textId="77777777" w:rsidTr="00A74EF1">
        <w:trPr>
          <w:trHeight w:val="168"/>
        </w:trPr>
        <w:tc>
          <w:tcPr>
            <w:tcW w:w="4940" w:type="dxa"/>
            <w:tcBorders>
              <w:top w:val="nil"/>
              <w:left w:val="nil"/>
              <w:bottom w:val="single" w:sz="8" w:space="0" w:color="auto"/>
              <w:right w:val="nil"/>
            </w:tcBorders>
            <w:shd w:val="clear" w:color="000000" w:fill="FFFFFF"/>
            <w:noWrap/>
            <w:vAlign w:val="center"/>
            <w:hideMark/>
          </w:tcPr>
          <w:p w14:paraId="184CAB1E"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200" w:type="dxa"/>
            <w:tcBorders>
              <w:top w:val="nil"/>
              <w:left w:val="nil"/>
              <w:bottom w:val="nil"/>
              <w:right w:val="nil"/>
            </w:tcBorders>
            <w:shd w:val="clear" w:color="auto" w:fill="auto"/>
            <w:noWrap/>
            <w:vAlign w:val="center"/>
            <w:hideMark/>
          </w:tcPr>
          <w:p w14:paraId="504D5DF6" w14:textId="77777777" w:rsidR="00A74EF1" w:rsidRPr="00586A11" w:rsidRDefault="00A74EF1" w:rsidP="00A74EF1">
            <w:pPr>
              <w:spacing w:after="0" w:line="240" w:lineRule="auto"/>
              <w:rPr>
                <w:rFonts w:ascii="Gill Sans Std" w:eastAsia="Times New Roman" w:hAnsi="Gill Sans Std" w:cstheme="minorHAnsi"/>
                <w:b/>
                <w:bCs/>
                <w:color w:val="000000"/>
                <w:sz w:val="20"/>
                <w:szCs w:val="20"/>
                <w:lang w:eastAsia="fr-FR"/>
              </w:rPr>
            </w:pPr>
          </w:p>
        </w:tc>
        <w:tc>
          <w:tcPr>
            <w:tcW w:w="1340" w:type="dxa"/>
            <w:tcBorders>
              <w:top w:val="nil"/>
              <w:left w:val="nil"/>
              <w:bottom w:val="nil"/>
              <w:right w:val="nil"/>
            </w:tcBorders>
            <w:shd w:val="clear" w:color="000000" w:fill="FFFFFF"/>
            <w:noWrap/>
            <w:vAlign w:val="center"/>
            <w:hideMark/>
          </w:tcPr>
          <w:p w14:paraId="431A8BD2"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nil"/>
              <w:right w:val="nil"/>
            </w:tcBorders>
            <w:shd w:val="clear" w:color="000000" w:fill="FFFFFF"/>
            <w:noWrap/>
            <w:vAlign w:val="center"/>
            <w:hideMark/>
          </w:tcPr>
          <w:p w14:paraId="6C72CEE1"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c>
          <w:tcPr>
            <w:tcW w:w="1340" w:type="dxa"/>
            <w:tcBorders>
              <w:top w:val="nil"/>
              <w:left w:val="nil"/>
              <w:bottom w:val="single" w:sz="8" w:space="0" w:color="auto"/>
              <w:right w:val="nil"/>
            </w:tcBorders>
            <w:shd w:val="clear" w:color="000000" w:fill="FFFFFF"/>
            <w:noWrap/>
            <w:vAlign w:val="center"/>
            <w:hideMark/>
          </w:tcPr>
          <w:p w14:paraId="0B77748B" w14:textId="77777777" w:rsidR="00A74EF1" w:rsidRPr="00586A11" w:rsidRDefault="00A74EF1" w:rsidP="00A74EF1">
            <w:pPr>
              <w:spacing w:after="0" w:line="240" w:lineRule="auto"/>
              <w:jc w:val="center"/>
              <w:rPr>
                <w:rFonts w:ascii="Gill Sans Std" w:eastAsia="Times New Roman" w:hAnsi="Gill Sans Std" w:cstheme="minorHAnsi"/>
                <w:b/>
                <w:bCs/>
                <w:color w:val="000000"/>
                <w:sz w:val="20"/>
                <w:szCs w:val="20"/>
                <w:lang w:eastAsia="fr-FR"/>
              </w:rPr>
            </w:pPr>
            <w:r w:rsidRPr="00586A11">
              <w:rPr>
                <w:rFonts w:ascii="Gill Sans Std" w:eastAsia="Times New Roman" w:hAnsi="Gill Sans Std" w:cstheme="minorHAnsi"/>
                <w:b/>
                <w:color w:val="000000"/>
                <w:sz w:val="20"/>
                <w:szCs w:val="20"/>
                <w:lang w:bidi="en-GB"/>
              </w:rPr>
              <w:t> </w:t>
            </w:r>
          </w:p>
        </w:tc>
      </w:tr>
      <w:tr w:rsidR="00A74EF1" w:rsidRPr="00586A11" w14:paraId="5E69166C" w14:textId="77777777" w:rsidTr="00A74EF1">
        <w:trPr>
          <w:trHeight w:val="300"/>
        </w:trPr>
        <w:tc>
          <w:tcPr>
            <w:tcW w:w="4940" w:type="dxa"/>
            <w:tcBorders>
              <w:top w:val="nil"/>
              <w:left w:val="single" w:sz="8" w:space="0" w:color="auto"/>
              <w:bottom w:val="single" w:sz="8" w:space="0" w:color="auto"/>
              <w:right w:val="single" w:sz="8" w:space="0" w:color="auto"/>
            </w:tcBorders>
            <w:shd w:val="clear" w:color="000000" w:fill="636362"/>
            <w:noWrap/>
            <w:vAlign w:val="center"/>
            <w:hideMark/>
          </w:tcPr>
          <w:p w14:paraId="2F0EB32A"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NET INCOME ATTRIBUTABLE TO THE GROUP</w:t>
            </w:r>
          </w:p>
        </w:tc>
        <w:tc>
          <w:tcPr>
            <w:tcW w:w="200" w:type="dxa"/>
            <w:tcBorders>
              <w:top w:val="nil"/>
              <w:left w:val="nil"/>
              <w:bottom w:val="nil"/>
              <w:right w:val="nil"/>
            </w:tcBorders>
            <w:shd w:val="clear" w:color="auto" w:fill="auto"/>
            <w:noWrap/>
            <w:vAlign w:val="center"/>
            <w:hideMark/>
          </w:tcPr>
          <w:p w14:paraId="61FC1492" w14:textId="77777777" w:rsidR="00A74EF1" w:rsidRPr="00586A11" w:rsidRDefault="00A74EF1" w:rsidP="00A74EF1">
            <w:pPr>
              <w:spacing w:after="0" w:line="240" w:lineRule="auto"/>
              <w:rPr>
                <w:rFonts w:ascii="Gill Sans Std" w:eastAsia="Times New Roman" w:hAnsi="Gill Sans Std" w:cstheme="minorHAnsi"/>
                <w:b/>
                <w:bCs/>
                <w:color w:val="FFFFFF"/>
                <w:sz w:val="20"/>
                <w:szCs w:val="20"/>
                <w:lang w:eastAsia="fr-FR"/>
              </w:rPr>
            </w:pPr>
          </w:p>
        </w:tc>
        <w:tc>
          <w:tcPr>
            <w:tcW w:w="1340" w:type="dxa"/>
            <w:tcBorders>
              <w:top w:val="single" w:sz="8" w:space="0" w:color="auto"/>
              <w:left w:val="single" w:sz="8" w:space="0" w:color="auto"/>
              <w:bottom w:val="single" w:sz="8" w:space="0" w:color="auto"/>
              <w:right w:val="single" w:sz="8" w:space="0" w:color="auto"/>
            </w:tcBorders>
            <w:shd w:val="clear" w:color="000000" w:fill="636362"/>
            <w:noWrap/>
            <w:vAlign w:val="center"/>
            <w:hideMark/>
          </w:tcPr>
          <w:p w14:paraId="1EAE00DE" w14:textId="77777777"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319.1</w:t>
            </w:r>
          </w:p>
        </w:tc>
        <w:tc>
          <w:tcPr>
            <w:tcW w:w="1340" w:type="dxa"/>
            <w:tcBorders>
              <w:top w:val="single" w:sz="8" w:space="0" w:color="auto"/>
              <w:left w:val="nil"/>
              <w:bottom w:val="single" w:sz="8" w:space="0" w:color="auto"/>
              <w:right w:val="single" w:sz="8" w:space="0" w:color="auto"/>
            </w:tcBorders>
            <w:shd w:val="clear" w:color="000000" w:fill="636362"/>
            <w:noWrap/>
            <w:vAlign w:val="center"/>
            <w:hideMark/>
          </w:tcPr>
          <w:p w14:paraId="1463FBF3" w14:textId="424C757E"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391.0</w:t>
            </w:r>
          </w:p>
        </w:tc>
        <w:tc>
          <w:tcPr>
            <w:tcW w:w="1340" w:type="dxa"/>
            <w:tcBorders>
              <w:top w:val="nil"/>
              <w:left w:val="nil"/>
              <w:bottom w:val="single" w:sz="8" w:space="0" w:color="auto"/>
              <w:right w:val="single" w:sz="8" w:space="0" w:color="auto"/>
            </w:tcBorders>
            <w:shd w:val="clear" w:color="000000" w:fill="636362"/>
            <w:noWrap/>
            <w:vAlign w:val="center"/>
            <w:hideMark/>
          </w:tcPr>
          <w:p w14:paraId="5AC54EB3" w14:textId="0F535FBC" w:rsidR="00A74EF1" w:rsidRPr="00586A11" w:rsidRDefault="00A74EF1" w:rsidP="00A74EF1">
            <w:pPr>
              <w:spacing w:after="0" w:line="240" w:lineRule="auto"/>
              <w:jc w:val="center"/>
              <w:rPr>
                <w:rFonts w:ascii="Gill Sans Std" w:eastAsia="Times New Roman" w:hAnsi="Gill Sans Std" w:cstheme="minorHAnsi"/>
                <w:b/>
                <w:bCs/>
                <w:color w:val="FFFFFF"/>
                <w:sz w:val="20"/>
                <w:szCs w:val="20"/>
                <w:lang w:eastAsia="fr-FR"/>
              </w:rPr>
            </w:pPr>
            <w:r w:rsidRPr="00586A11">
              <w:rPr>
                <w:rFonts w:ascii="Gill Sans Std" w:eastAsia="Times New Roman" w:hAnsi="Gill Sans Std" w:cstheme="minorHAnsi"/>
                <w:b/>
                <w:color w:val="FFFFFF"/>
                <w:sz w:val="20"/>
                <w:szCs w:val="20"/>
                <w:lang w:bidi="en-GB"/>
              </w:rPr>
              <w:t>+22.5%</w:t>
            </w:r>
          </w:p>
        </w:tc>
      </w:tr>
    </w:tbl>
    <w:p w14:paraId="12C39A69" w14:textId="77777777" w:rsidR="00464BFE" w:rsidRDefault="00464BFE" w:rsidP="00A20220">
      <w:pPr>
        <w:keepNext/>
        <w:pBdr>
          <w:bottom w:val="single" w:sz="18" w:space="1" w:color="665D54"/>
        </w:pBdr>
        <w:spacing w:after="0" w:line="240" w:lineRule="auto"/>
        <w:jc w:val="both"/>
        <w:rPr>
          <w:rFonts w:ascii="Gill Sans Std" w:hAnsi="Gill Sans Std" w:cstheme="minorHAnsi"/>
          <w:b/>
          <w:color w:val="665D54"/>
          <w:sz w:val="24"/>
          <w:szCs w:val="24"/>
        </w:rPr>
      </w:pPr>
    </w:p>
    <w:p w14:paraId="25B5EDCB" w14:textId="45E8D817" w:rsidR="00942C58" w:rsidRPr="00586A11" w:rsidRDefault="00942C58" w:rsidP="00A20220">
      <w:pPr>
        <w:keepNext/>
        <w:pBdr>
          <w:bottom w:val="single" w:sz="18" w:space="1" w:color="665D54"/>
        </w:pBdr>
        <w:spacing w:after="0" w:line="240" w:lineRule="auto"/>
        <w:jc w:val="both"/>
        <w:rPr>
          <w:rFonts w:ascii="Gill Sans Std" w:hAnsi="Gill Sans Std" w:cstheme="minorHAnsi"/>
          <w:b/>
          <w:color w:val="665D54"/>
          <w:sz w:val="24"/>
          <w:szCs w:val="24"/>
        </w:rPr>
      </w:pPr>
      <w:r w:rsidRPr="00586A11">
        <w:rPr>
          <w:rFonts w:ascii="Gill Sans Std" w:eastAsia="Gill Sans Std" w:hAnsi="Gill Sans Std" w:cstheme="minorHAnsi"/>
          <w:b/>
          <w:color w:val="665D54"/>
          <w:sz w:val="24"/>
          <w:szCs w:val="24"/>
          <w:lang w:bidi="en-GB"/>
        </w:rPr>
        <w:t>About BRED Banque Populaire</w:t>
      </w:r>
    </w:p>
    <w:p w14:paraId="4F703EAA" w14:textId="77777777" w:rsidR="00942C58" w:rsidRPr="00586A11" w:rsidRDefault="00942C58" w:rsidP="00A20220">
      <w:pPr>
        <w:keepNext/>
        <w:spacing w:after="0" w:line="240" w:lineRule="auto"/>
        <w:jc w:val="both"/>
        <w:rPr>
          <w:rFonts w:ascii="Gill Sans Std" w:hAnsi="Gill Sans Std" w:cstheme="minorHAnsi"/>
          <w:sz w:val="24"/>
          <w:szCs w:val="24"/>
        </w:rPr>
      </w:pPr>
    </w:p>
    <w:p w14:paraId="3351E77E" w14:textId="128C3953" w:rsidR="00ED5A95" w:rsidRPr="00586A11" w:rsidRDefault="00ED5A95" w:rsidP="00A20220">
      <w:pPr>
        <w:keepNext/>
        <w:spacing w:after="0" w:line="240" w:lineRule="auto"/>
        <w:jc w:val="both"/>
        <w:rPr>
          <w:rFonts w:ascii="Gill Sans Std" w:hAnsi="Gill Sans Std"/>
          <w:sz w:val="24"/>
          <w:szCs w:val="24"/>
        </w:rPr>
      </w:pPr>
      <w:r w:rsidRPr="00586A11">
        <w:rPr>
          <w:rFonts w:ascii="Gill Sans Std" w:eastAsia="Gill Sans Std" w:hAnsi="Gill Sans Std" w:cs="Gill Sans Std"/>
          <w:sz w:val="24"/>
          <w:szCs w:val="24"/>
          <w:lang w:bidi="en-GB"/>
        </w:rPr>
        <w:t xml:space="preserve">BRED Banque Populaire is a cooperative “people’s bank”, and one of the parent companies of the BPCE Group, with more than 200,000 cooperative members, €7.1 billion in shareholders’ equity and 7,300 employees, 40% of whom are based outside France and in French overseas </w:t>
      </w:r>
      <w:r w:rsidRPr="00586A11">
        <w:rPr>
          <w:rFonts w:ascii="Gill Sans Std" w:eastAsia="Gill Sans Std" w:hAnsi="Gill Sans Std" w:cs="Gill Sans Std"/>
          <w:sz w:val="24"/>
          <w:szCs w:val="24"/>
          <w:lang w:bidi="en-GB"/>
        </w:rPr>
        <w:lastRenderedPageBreak/>
        <w:t>territories. We operate in Ile-de-France, Normandy and the French overseas territories, as well as through our commercial banking subsidiaries in Southeast Asia, the South Pacific, Africa and Switzerland.</w:t>
      </w:r>
    </w:p>
    <w:p w14:paraId="682AAEB4" w14:textId="77777777" w:rsidR="00ED5A95" w:rsidRPr="00586A11" w:rsidRDefault="00ED5A95" w:rsidP="00A20220">
      <w:pPr>
        <w:keepNext/>
        <w:spacing w:after="0" w:line="240" w:lineRule="auto"/>
        <w:jc w:val="both"/>
        <w:rPr>
          <w:rFonts w:ascii="Gill Sans Std" w:hAnsi="Gill Sans Std"/>
          <w:sz w:val="24"/>
          <w:szCs w:val="24"/>
        </w:rPr>
      </w:pPr>
    </w:p>
    <w:p w14:paraId="487D18BD" w14:textId="59FA58FB" w:rsidR="00ED5A95" w:rsidRPr="00586A11" w:rsidRDefault="00ED5A95" w:rsidP="00A20220">
      <w:pPr>
        <w:keepNext/>
        <w:spacing w:after="0" w:line="240" w:lineRule="auto"/>
        <w:jc w:val="both"/>
        <w:rPr>
          <w:rFonts w:ascii="Gill Sans Std" w:hAnsi="Gill Sans Std"/>
          <w:sz w:val="24"/>
          <w:szCs w:val="24"/>
        </w:rPr>
      </w:pPr>
      <w:r w:rsidRPr="00586A11">
        <w:rPr>
          <w:rFonts w:ascii="Gill Sans Std" w:eastAsia="Gill Sans Std" w:hAnsi="Gill Sans Std" w:cs="Gill Sans Std"/>
          <w:sz w:val="24"/>
          <w:szCs w:val="24"/>
          <w:lang w:bidi="en-GB"/>
        </w:rPr>
        <w:t>We are a local bank committed to the communities we serve, with a network of 481 locations in France and abroad. We forge long-term relationships with our 1.6 million customers.</w:t>
      </w:r>
    </w:p>
    <w:p w14:paraId="022AF357" w14:textId="77777777" w:rsidR="00ED5A95" w:rsidRPr="00586A11" w:rsidRDefault="00ED5A95" w:rsidP="00A20220">
      <w:pPr>
        <w:keepNext/>
        <w:spacing w:after="0" w:line="240" w:lineRule="auto"/>
        <w:jc w:val="both"/>
        <w:rPr>
          <w:rFonts w:ascii="Gill Sans Std" w:hAnsi="Gill Sans Std"/>
          <w:sz w:val="24"/>
          <w:szCs w:val="24"/>
          <w:highlight w:val="yellow"/>
        </w:rPr>
      </w:pPr>
    </w:p>
    <w:p w14:paraId="160C6319" w14:textId="61C1259D" w:rsidR="00942C58" w:rsidRPr="00586A11" w:rsidRDefault="00ED5A95" w:rsidP="00A20220">
      <w:pPr>
        <w:keepNext/>
        <w:spacing w:after="0" w:line="240" w:lineRule="auto"/>
        <w:jc w:val="both"/>
        <w:rPr>
          <w:rFonts w:ascii="Gill Sans Std" w:hAnsi="Gill Sans Std"/>
          <w:sz w:val="24"/>
          <w:szCs w:val="24"/>
        </w:rPr>
      </w:pPr>
      <w:r w:rsidRPr="00586A11">
        <w:rPr>
          <w:rFonts w:ascii="Gill Sans Std" w:eastAsia="Gill Sans Std" w:hAnsi="Gill Sans Std" w:cs="Gill Sans Std"/>
          <w:sz w:val="24"/>
          <w:szCs w:val="24"/>
          <w:lang w:bidi="en-GB"/>
        </w:rPr>
        <w:t>BRED operates in various business sectors: retail banking, corporate banking for large-cap companies and institutional investors, wealth management, international banking, trading, asset management, insurance and international trade financing.</w:t>
      </w:r>
    </w:p>
    <w:p w14:paraId="460DD140" w14:textId="77777777" w:rsidR="00ED5A95" w:rsidRPr="00586A11" w:rsidRDefault="00ED5A95" w:rsidP="00A20220">
      <w:pPr>
        <w:keepNext/>
        <w:spacing w:after="0" w:line="240" w:lineRule="auto"/>
        <w:jc w:val="both"/>
        <w:rPr>
          <w:rFonts w:ascii="Gill Sans Std" w:hAnsi="Gill Sans Std"/>
          <w:sz w:val="24"/>
          <w:szCs w:val="24"/>
          <w:highlight w:val="yellow"/>
        </w:rPr>
      </w:pPr>
    </w:p>
    <w:p w14:paraId="74427877" w14:textId="6430A049" w:rsidR="00942C58" w:rsidRPr="00586A11" w:rsidRDefault="00942C58" w:rsidP="00A20220">
      <w:pPr>
        <w:keepNext/>
        <w:spacing w:after="0" w:line="240" w:lineRule="auto"/>
        <w:jc w:val="both"/>
        <w:rPr>
          <w:rFonts w:ascii="Gill Sans Std" w:hAnsi="Gill Sans Std"/>
          <w:sz w:val="24"/>
          <w:szCs w:val="24"/>
        </w:rPr>
      </w:pPr>
      <w:r w:rsidRPr="00586A11">
        <w:rPr>
          <w:rFonts w:ascii="Gill Sans Std" w:eastAsia="Gill Sans Std" w:hAnsi="Gill Sans Std" w:cs="Gill Sans Std"/>
          <w:sz w:val="24"/>
          <w:szCs w:val="24"/>
          <w:lang w:bidi="en-GB"/>
        </w:rPr>
        <w:t>In 2024, BRED generated consolidated net banking income of €1.47 billion and posted net income of €391 million.</w:t>
      </w:r>
    </w:p>
    <w:p w14:paraId="35146AE3" w14:textId="77777777" w:rsidR="00942C58" w:rsidRPr="00586A11" w:rsidRDefault="00942C58" w:rsidP="00A20220">
      <w:pPr>
        <w:keepNext/>
        <w:spacing w:after="0" w:line="240" w:lineRule="auto"/>
        <w:jc w:val="both"/>
        <w:rPr>
          <w:rFonts w:ascii="Gill Sans Std" w:hAnsi="Gill Sans Std" w:cstheme="minorHAnsi"/>
          <w:color w:val="665D54"/>
          <w:sz w:val="24"/>
          <w:szCs w:val="24"/>
          <w:highlight w:val="yellow"/>
        </w:rPr>
      </w:pPr>
    </w:p>
    <w:p w14:paraId="6B555177" w14:textId="77777777" w:rsidR="00942C58" w:rsidRPr="00586A11" w:rsidRDefault="00942C58" w:rsidP="00A20220">
      <w:pPr>
        <w:keepNext/>
        <w:pBdr>
          <w:bottom w:val="single" w:sz="18" w:space="1" w:color="665D54"/>
        </w:pBdr>
        <w:spacing w:after="0" w:line="240" w:lineRule="auto"/>
        <w:jc w:val="both"/>
        <w:rPr>
          <w:rFonts w:ascii="Gill Sans Std" w:hAnsi="Gill Sans Std"/>
          <w:b/>
          <w:color w:val="665D54"/>
          <w:sz w:val="24"/>
          <w:szCs w:val="28"/>
        </w:rPr>
      </w:pPr>
      <w:r w:rsidRPr="00586A11">
        <w:rPr>
          <w:rFonts w:ascii="Gill Sans Std" w:eastAsia="Gill Sans Std" w:hAnsi="Gill Sans Std" w:cs="Gill Sans Std"/>
          <w:b/>
          <w:color w:val="665D54"/>
          <w:sz w:val="24"/>
          <w:szCs w:val="28"/>
          <w:lang w:bidi="en-GB"/>
        </w:rPr>
        <w:t>Press contacts</w:t>
      </w:r>
    </w:p>
    <w:p w14:paraId="43233B9D" w14:textId="77777777" w:rsidR="00942C58" w:rsidRPr="00586A11" w:rsidRDefault="00942C58" w:rsidP="00A20220">
      <w:pPr>
        <w:keepNext/>
        <w:spacing w:after="0" w:line="240" w:lineRule="auto"/>
        <w:jc w:val="both"/>
        <w:rPr>
          <w:rFonts w:ascii="Gill Sans Std" w:hAnsi="Gill Sans Std" w:cstheme="minorHAnsi"/>
          <w:color w:val="665D54"/>
          <w:sz w:val="24"/>
          <w:szCs w:val="24"/>
        </w:rPr>
      </w:pPr>
    </w:p>
    <w:p w14:paraId="78908989" w14:textId="57F6391D" w:rsidR="007E2A65" w:rsidRPr="00586A11" w:rsidRDefault="007E2A65" w:rsidP="004F0BB5">
      <w:pPr>
        <w:keepNext/>
        <w:spacing w:after="0" w:line="240" w:lineRule="auto"/>
        <w:jc w:val="both"/>
        <w:rPr>
          <w:rFonts w:ascii="Gill Sans Std" w:hAnsi="Gill Sans Std"/>
        </w:rPr>
      </w:pPr>
      <w:r w:rsidRPr="00586A11">
        <w:rPr>
          <w:rFonts w:ascii="Gill Sans Std" w:eastAsia="Gill Sans Std" w:hAnsi="Gill Sans Std" w:cs="Gill Sans Std"/>
          <w:lang w:bidi="en-GB"/>
        </w:rPr>
        <w:t xml:space="preserve">Leïla Salimi, Head of Communications </w:t>
      </w:r>
    </w:p>
    <w:p w14:paraId="0E6AFE8B" w14:textId="4E6F7883" w:rsidR="003174BA" w:rsidRPr="00586A11" w:rsidRDefault="007E2A65" w:rsidP="004F0BB5">
      <w:pPr>
        <w:keepNext/>
        <w:spacing w:after="0" w:line="240" w:lineRule="auto"/>
        <w:jc w:val="both"/>
        <w:rPr>
          <w:rFonts w:ascii="Gill Sans Std" w:hAnsi="Gill Sans Std"/>
          <w:sz w:val="24"/>
          <w:szCs w:val="24"/>
        </w:rPr>
      </w:pPr>
      <w:hyperlink r:id="rId11" w:history="1">
        <w:r w:rsidRPr="00586A11">
          <w:rPr>
            <w:rStyle w:val="Hyperlink"/>
            <w:rFonts w:ascii="Gill Sans Std" w:eastAsia="Gill Sans Std" w:hAnsi="Gill Sans Std" w:cs="Gill Sans Std"/>
            <w:sz w:val="24"/>
            <w:szCs w:val="24"/>
            <w:lang w:bidi="en-GB"/>
          </w:rPr>
          <w:t>leila.salimi@bred.fr</w:t>
        </w:r>
      </w:hyperlink>
      <w:r w:rsidR="006015E3" w:rsidRPr="00586A11">
        <w:rPr>
          <w:rFonts w:ascii="Gill Sans Std" w:eastAsia="Gill Sans Std" w:hAnsi="Gill Sans Std" w:cs="Gill Sans Std"/>
          <w:sz w:val="24"/>
          <w:szCs w:val="24"/>
          <w:lang w:bidi="en-GB"/>
        </w:rPr>
        <w:t xml:space="preserve"> </w:t>
      </w:r>
      <w:r w:rsidRPr="00586A11">
        <w:rPr>
          <w:rFonts w:ascii="Gill Sans Std" w:eastAsia="Gill Sans Std" w:hAnsi="Gill Sans Std" w:cs="Gill Sans Std"/>
          <w:lang w:bidi="en-GB"/>
        </w:rPr>
        <w:t>– +33 (0)6 98 61 98 78</w:t>
      </w:r>
    </w:p>
    <w:p w14:paraId="256F136F" w14:textId="77777777" w:rsidR="007E2A65" w:rsidRPr="00586A11" w:rsidRDefault="007E2A65" w:rsidP="004F0BB5">
      <w:pPr>
        <w:keepNext/>
        <w:spacing w:after="0" w:line="240" w:lineRule="auto"/>
        <w:jc w:val="both"/>
        <w:rPr>
          <w:rFonts w:ascii="Gill Sans Std" w:hAnsi="Gill Sans Std"/>
          <w:sz w:val="24"/>
          <w:szCs w:val="24"/>
        </w:rPr>
      </w:pPr>
    </w:p>
    <w:p w14:paraId="2A01273E" w14:textId="750F2C99" w:rsidR="007E2A65" w:rsidRPr="00586A11" w:rsidRDefault="007E2A65" w:rsidP="004F0BB5">
      <w:pPr>
        <w:keepNext/>
        <w:spacing w:after="0" w:line="240" w:lineRule="auto"/>
        <w:jc w:val="both"/>
        <w:rPr>
          <w:rFonts w:ascii="Gill Sans Std" w:hAnsi="Gill Sans Std"/>
        </w:rPr>
      </w:pPr>
      <w:r w:rsidRPr="00586A11">
        <w:rPr>
          <w:rFonts w:ascii="Gill Sans Std" w:eastAsia="Gill Sans Std" w:hAnsi="Gill Sans Std" w:cs="Gill Sans Std"/>
          <w:lang w:bidi="en-GB"/>
        </w:rPr>
        <w:t>Anne Simonet, Head of Media Relations and Social Networks</w:t>
      </w:r>
    </w:p>
    <w:p w14:paraId="2824D042" w14:textId="7A4BC053" w:rsidR="0031411F" w:rsidRPr="00586A11" w:rsidRDefault="007E2A65" w:rsidP="004F0BB5">
      <w:pPr>
        <w:keepNext/>
        <w:spacing w:after="0" w:line="240" w:lineRule="auto"/>
        <w:jc w:val="both"/>
        <w:rPr>
          <w:rFonts w:ascii="Gill Sans Std" w:hAnsi="Gill Sans Std"/>
        </w:rPr>
      </w:pPr>
      <w:hyperlink r:id="rId12" w:history="1">
        <w:r w:rsidRPr="00586A11">
          <w:rPr>
            <w:rStyle w:val="Hyperlink"/>
            <w:rFonts w:ascii="Gill Sans Std" w:eastAsia="Gill Sans Std" w:hAnsi="Gill Sans Std" w:cs="Gill Sans Std"/>
            <w:sz w:val="24"/>
            <w:szCs w:val="24"/>
            <w:lang w:bidi="en-GB"/>
          </w:rPr>
          <w:t>anne.simonet@bred.fr</w:t>
        </w:r>
      </w:hyperlink>
      <w:r w:rsidR="006015E3" w:rsidRPr="00586A11">
        <w:rPr>
          <w:rFonts w:ascii="Gill Sans Std" w:eastAsia="Gill Sans Std" w:hAnsi="Gill Sans Std" w:cs="Gill Sans Std"/>
          <w:sz w:val="24"/>
          <w:szCs w:val="24"/>
          <w:lang w:bidi="en-GB"/>
        </w:rPr>
        <w:t xml:space="preserve"> </w:t>
      </w:r>
      <w:r w:rsidRPr="00586A11">
        <w:rPr>
          <w:rFonts w:ascii="Gill Sans Std" w:eastAsia="Gill Sans Std" w:hAnsi="Gill Sans Std" w:cs="Gill Sans Std"/>
          <w:lang w:bidi="en-GB"/>
        </w:rPr>
        <w:t>– +33 (0)7 77 86 15 51</w:t>
      </w:r>
    </w:p>
    <w:sectPr w:rsidR="0031411F" w:rsidRPr="00586A11" w:rsidSect="00EF699D">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3392" w14:textId="77777777" w:rsidR="0013714B" w:rsidRDefault="0013714B" w:rsidP="00592AA2">
      <w:pPr>
        <w:spacing w:after="0" w:line="240" w:lineRule="auto"/>
      </w:pPr>
      <w:r>
        <w:separator/>
      </w:r>
    </w:p>
  </w:endnote>
  <w:endnote w:type="continuationSeparator" w:id="0">
    <w:p w14:paraId="090587F8" w14:textId="77777777" w:rsidR="0013714B" w:rsidRDefault="0013714B" w:rsidP="0059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St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81738"/>
      <w:docPartObj>
        <w:docPartGallery w:val="Page Numbers (Bottom of Page)"/>
        <w:docPartUnique/>
      </w:docPartObj>
    </w:sdtPr>
    <w:sdtContent>
      <w:p w14:paraId="6389391D" w14:textId="7F72E7AD" w:rsidR="00507350" w:rsidRDefault="00507350">
        <w:pPr>
          <w:pStyle w:val="Footer"/>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6FD129F1" w14:textId="77777777" w:rsidR="00507350" w:rsidRDefault="00507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79B5" w14:textId="77777777" w:rsidR="0013714B" w:rsidRDefault="0013714B" w:rsidP="00592AA2">
      <w:pPr>
        <w:spacing w:after="0" w:line="240" w:lineRule="auto"/>
      </w:pPr>
      <w:r>
        <w:separator/>
      </w:r>
    </w:p>
  </w:footnote>
  <w:footnote w:type="continuationSeparator" w:id="0">
    <w:p w14:paraId="5C4FD6CB" w14:textId="77777777" w:rsidR="0013714B" w:rsidRDefault="0013714B" w:rsidP="00592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892"/>
    <w:multiLevelType w:val="hybridMultilevel"/>
    <w:tmpl w:val="AD8C43F4"/>
    <w:lvl w:ilvl="0" w:tplc="B1BACB6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71820"/>
    <w:multiLevelType w:val="hybridMultilevel"/>
    <w:tmpl w:val="5F3CE5EA"/>
    <w:lvl w:ilvl="0" w:tplc="ECAE91A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7D5541"/>
    <w:multiLevelType w:val="hybridMultilevel"/>
    <w:tmpl w:val="651085C6"/>
    <w:lvl w:ilvl="0" w:tplc="6DA007B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9A45CD"/>
    <w:multiLevelType w:val="hybridMultilevel"/>
    <w:tmpl w:val="2A20747C"/>
    <w:lvl w:ilvl="0" w:tplc="6BDAFE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72607E"/>
    <w:multiLevelType w:val="hybridMultilevel"/>
    <w:tmpl w:val="3D02C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AF457D"/>
    <w:multiLevelType w:val="hybridMultilevel"/>
    <w:tmpl w:val="5DD653B6"/>
    <w:lvl w:ilvl="0" w:tplc="ECAE91A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58758E"/>
    <w:multiLevelType w:val="hybridMultilevel"/>
    <w:tmpl w:val="D85267F2"/>
    <w:lvl w:ilvl="0" w:tplc="ECAE91A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F6901"/>
    <w:multiLevelType w:val="hybridMultilevel"/>
    <w:tmpl w:val="B3EAB068"/>
    <w:lvl w:ilvl="0" w:tplc="E40A08E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1787732">
    <w:abstractNumId w:val="5"/>
  </w:num>
  <w:num w:numId="2" w16cid:durableId="559101494">
    <w:abstractNumId w:val="1"/>
  </w:num>
  <w:num w:numId="3" w16cid:durableId="903419710">
    <w:abstractNumId w:val="6"/>
  </w:num>
  <w:num w:numId="4" w16cid:durableId="1295988821">
    <w:abstractNumId w:val="7"/>
  </w:num>
  <w:num w:numId="5" w16cid:durableId="255406225">
    <w:abstractNumId w:val="4"/>
  </w:num>
  <w:num w:numId="6" w16cid:durableId="1636835647">
    <w:abstractNumId w:val="2"/>
  </w:num>
  <w:num w:numId="7" w16cid:durableId="1529756185">
    <w:abstractNumId w:val="3"/>
  </w:num>
  <w:num w:numId="8" w16cid:durableId="61271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19"/>
    <w:rsid w:val="000047C7"/>
    <w:rsid w:val="000147A7"/>
    <w:rsid w:val="00017DA1"/>
    <w:rsid w:val="00021A48"/>
    <w:rsid w:val="00021D7C"/>
    <w:rsid w:val="00025E57"/>
    <w:rsid w:val="00033EE4"/>
    <w:rsid w:val="00043E46"/>
    <w:rsid w:val="00050B34"/>
    <w:rsid w:val="000527FA"/>
    <w:rsid w:val="0005430E"/>
    <w:rsid w:val="00054573"/>
    <w:rsid w:val="00057FC5"/>
    <w:rsid w:val="00060186"/>
    <w:rsid w:val="000614F0"/>
    <w:rsid w:val="0006216F"/>
    <w:rsid w:val="00064C40"/>
    <w:rsid w:val="000655A1"/>
    <w:rsid w:val="00073319"/>
    <w:rsid w:val="00074F47"/>
    <w:rsid w:val="000768AE"/>
    <w:rsid w:val="00076C5E"/>
    <w:rsid w:val="00080C2D"/>
    <w:rsid w:val="000822FD"/>
    <w:rsid w:val="0008638A"/>
    <w:rsid w:val="00090519"/>
    <w:rsid w:val="0009238B"/>
    <w:rsid w:val="00092F8F"/>
    <w:rsid w:val="0009391A"/>
    <w:rsid w:val="000C051E"/>
    <w:rsid w:val="000C7330"/>
    <w:rsid w:val="000D03CF"/>
    <w:rsid w:val="000D068B"/>
    <w:rsid w:val="000D4DDD"/>
    <w:rsid w:val="000F269A"/>
    <w:rsid w:val="000F39A4"/>
    <w:rsid w:val="000F3D7D"/>
    <w:rsid w:val="00101AA7"/>
    <w:rsid w:val="001142D6"/>
    <w:rsid w:val="0011746F"/>
    <w:rsid w:val="00117B83"/>
    <w:rsid w:val="00121432"/>
    <w:rsid w:val="00126D8F"/>
    <w:rsid w:val="00127409"/>
    <w:rsid w:val="00131D64"/>
    <w:rsid w:val="00132300"/>
    <w:rsid w:val="00132FDB"/>
    <w:rsid w:val="00135AAA"/>
    <w:rsid w:val="00135B26"/>
    <w:rsid w:val="0013714B"/>
    <w:rsid w:val="00140648"/>
    <w:rsid w:val="0014071D"/>
    <w:rsid w:val="00141AA2"/>
    <w:rsid w:val="0014330D"/>
    <w:rsid w:val="00145D27"/>
    <w:rsid w:val="00150088"/>
    <w:rsid w:val="00153E66"/>
    <w:rsid w:val="001565AC"/>
    <w:rsid w:val="001569DC"/>
    <w:rsid w:val="00157EC8"/>
    <w:rsid w:val="00161C4A"/>
    <w:rsid w:val="0016354C"/>
    <w:rsid w:val="00163C1C"/>
    <w:rsid w:val="00164B76"/>
    <w:rsid w:val="0016614F"/>
    <w:rsid w:val="00167451"/>
    <w:rsid w:val="0017365F"/>
    <w:rsid w:val="00180F9D"/>
    <w:rsid w:val="001845F6"/>
    <w:rsid w:val="00191B00"/>
    <w:rsid w:val="00191BC5"/>
    <w:rsid w:val="00191F4B"/>
    <w:rsid w:val="00197D33"/>
    <w:rsid w:val="001A0E3A"/>
    <w:rsid w:val="001B7430"/>
    <w:rsid w:val="001C1AFD"/>
    <w:rsid w:val="001C360C"/>
    <w:rsid w:val="001C493F"/>
    <w:rsid w:val="001C7F4F"/>
    <w:rsid w:val="001D01FD"/>
    <w:rsid w:val="001D0494"/>
    <w:rsid w:val="001D25E5"/>
    <w:rsid w:val="001D552E"/>
    <w:rsid w:val="001E010B"/>
    <w:rsid w:val="001E0D22"/>
    <w:rsid w:val="001E1141"/>
    <w:rsid w:val="001E14AA"/>
    <w:rsid w:val="001E4174"/>
    <w:rsid w:val="001E7A3F"/>
    <w:rsid w:val="001F3937"/>
    <w:rsid w:val="001F3AD8"/>
    <w:rsid w:val="001F5950"/>
    <w:rsid w:val="001F6137"/>
    <w:rsid w:val="002011C3"/>
    <w:rsid w:val="002021DD"/>
    <w:rsid w:val="00207117"/>
    <w:rsid w:val="00210266"/>
    <w:rsid w:val="00210DAF"/>
    <w:rsid w:val="002114B7"/>
    <w:rsid w:val="00221F46"/>
    <w:rsid w:val="00225B57"/>
    <w:rsid w:val="00226788"/>
    <w:rsid w:val="00233E3A"/>
    <w:rsid w:val="00240422"/>
    <w:rsid w:val="00251079"/>
    <w:rsid w:val="00251E42"/>
    <w:rsid w:val="00253F88"/>
    <w:rsid w:val="00255D7B"/>
    <w:rsid w:val="00261FB5"/>
    <w:rsid w:val="00262E9A"/>
    <w:rsid w:val="0026346E"/>
    <w:rsid w:val="00263A72"/>
    <w:rsid w:val="00265220"/>
    <w:rsid w:val="002876AB"/>
    <w:rsid w:val="0028795C"/>
    <w:rsid w:val="00291750"/>
    <w:rsid w:val="0029183A"/>
    <w:rsid w:val="0029417A"/>
    <w:rsid w:val="002951AF"/>
    <w:rsid w:val="002A0EB2"/>
    <w:rsid w:val="002A128A"/>
    <w:rsid w:val="002A57FD"/>
    <w:rsid w:val="002A599D"/>
    <w:rsid w:val="002A6A62"/>
    <w:rsid w:val="002A7E2A"/>
    <w:rsid w:val="002B3DBC"/>
    <w:rsid w:val="002C34A9"/>
    <w:rsid w:val="002C3775"/>
    <w:rsid w:val="002D2498"/>
    <w:rsid w:val="002D36C4"/>
    <w:rsid w:val="002D6827"/>
    <w:rsid w:val="002D696B"/>
    <w:rsid w:val="002E6935"/>
    <w:rsid w:val="002F2BA1"/>
    <w:rsid w:val="002F429E"/>
    <w:rsid w:val="0030684A"/>
    <w:rsid w:val="00310BA2"/>
    <w:rsid w:val="00312DAF"/>
    <w:rsid w:val="0031411F"/>
    <w:rsid w:val="00316A95"/>
    <w:rsid w:val="00316DEC"/>
    <w:rsid w:val="003174BA"/>
    <w:rsid w:val="00317BEB"/>
    <w:rsid w:val="00320E1C"/>
    <w:rsid w:val="003233F5"/>
    <w:rsid w:val="0032645B"/>
    <w:rsid w:val="00326786"/>
    <w:rsid w:val="00332A96"/>
    <w:rsid w:val="003334D5"/>
    <w:rsid w:val="00337782"/>
    <w:rsid w:val="00351424"/>
    <w:rsid w:val="00353625"/>
    <w:rsid w:val="00353893"/>
    <w:rsid w:val="003561B1"/>
    <w:rsid w:val="0036118F"/>
    <w:rsid w:val="00382BA2"/>
    <w:rsid w:val="003909F7"/>
    <w:rsid w:val="0039108D"/>
    <w:rsid w:val="0039147D"/>
    <w:rsid w:val="00391E4D"/>
    <w:rsid w:val="003A074B"/>
    <w:rsid w:val="003A1462"/>
    <w:rsid w:val="003B154E"/>
    <w:rsid w:val="003B19A1"/>
    <w:rsid w:val="003B2377"/>
    <w:rsid w:val="003B4ED2"/>
    <w:rsid w:val="003B69DF"/>
    <w:rsid w:val="003B7C9D"/>
    <w:rsid w:val="003C0952"/>
    <w:rsid w:val="003C6644"/>
    <w:rsid w:val="003D24E5"/>
    <w:rsid w:val="003D58E3"/>
    <w:rsid w:val="003D6828"/>
    <w:rsid w:val="003D6F6F"/>
    <w:rsid w:val="003E4768"/>
    <w:rsid w:val="003E632F"/>
    <w:rsid w:val="003F0F0E"/>
    <w:rsid w:val="003F1AD0"/>
    <w:rsid w:val="003F4C08"/>
    <w:rsid w:val="003F7CF6"/>
    <w:rsid w:val="00403F90"/>
    <w:rsid w:val="004055E5"/>
    <w:rsid w:val="0040565A"/>
    <w:rsid w:val="0041328D"/>
    <w:rsid w:val="0041690A"/>
    <w:rsid w:val="004217D9"/>
    <w:rsid w:val="00443779"/>
    <w:rsid w:val="004541F3"/>
    <w:rsid w:val="004578EC"/>
    <w:rsid w:val="00462438"/>
    <w:rsid w:val="00464BEF"/>
    <w:rsid w:val="00464BFE"/>
    <w:rsid w:val="0047051C"/>
    <w:rsid w:val="00472E21"/>
    <w:rsid w:val="0047300C"/>
    <w:rsid w:val="00476282"/>
    <w:rsid w:val="00477B76"/>
    <w:rsid w:val="00480425"/>
    <w:rsid w:val="004961D9"/>
    <w:rsid w:val="00496DF6"/>
    <w:rsid w:val="004A1F9D"/>
    <w:rsid w:val="004A3C62"/>
    <w:rsid w:val="004A6522"/>
    <w:rsid w:val="004A6E82"/>
    <w:rsid w:val="004B0541"/>
    <w:rsid w:val="004B2E01"/>
    <w:rsid w:val="004C13CA"/>
    <w:rsid w:val="004C4A91"/>
    <w:rsid w:val="004C4FF8"/>
    <w:rsid w:val="004D50BA"/>
    <w:rsid w:val="004E0043"/>
    <w:rsid w:val="004E240B"/>
    <w:rsid w:val="004E3907"/>
    <w:rsid w:val="004E60DD"/>
    <w:rsid w:val="004F036E"/>
    <w:rsid w:val="004F0BB5"/>
    <w:rsid w:val="004F2B4F"/>
    <w:rsid w:val="004F586A"/>
    <w:rsid w:val="005001D9"/>
    <w:rsid w:val="00502B71"/>
    <w:rsid w:val="00504C17"/>
    <w:rsid w:val="00505EAC"/>
    <w:rsid w:val="00507350"/>
    <w:rsid w:val="005147C9"/>
    <w:rsid w:val="00515569"/>
    <w:rsid w:val="00516446"/>
    <w:rsid w:val="00520C93"/>
    <w:rsid w:val="00521C17"/>
    <w:rsid w:val="00522C09"/>
    <w:rsid w:val="00524CDA"/>
    <w:rsid w:val="005268C0"/>
    <w:rsid w:val="005302F3"/>
    <w:rsid w:val="005407AF"/>
    <w:rsid w:val="00544757"/>
    <w:rsid w:val="00553BF8"/>
    <w:rsid w:val="005601A1"/>
    <w:rsid w:val="005602F3"/>
    <w:rsid w:val="00561504"/>
    <w:rsid w:val="00564FDC"/>
    <w:rsid w:val="00574E85"/>
    <w:rsid w:val="00586A11"/>
    <w:rsid w:val="00586F8E"/>
    <w:rsid w:val="00587797"/>
    <w:rsid w:val="00591D7C"/>
    <w:rsid w:val="00592AA2"/>
    <w:rsid w:val="00595437"/>
    <w:rsid w:val="0059605F"/>
    <w:rsid w:val="005A0289"/>
    <w:rsid w:val="005A165F"/>
    <w:rsid w:val="005A437F"/>
    <w:rsid w:val="005A43A5"/>
    <w:rsid w:val="005B5E1B"/>
    <w:rsid w:val="005B5E69"/>
    <w:rsid w:val="005C165C"/>
    <w:rsid w:val="005C222D"/>
    <w:rsid w:val="005C246B"/>
    <w:rsid w:val="005C2830"/>
    <w:rsid w:val="005C3B94"/>
    <w:rsid w:val="005D0AB6"/>
    <w:rsid w:val="005D38CF"/>
    <w:rsid w:val="005D5748"/>
    <w:rsid w:val="005E06D9"/>
    <w:rsid w:val="005E32B9"/>
    <w:rsid w:val="005E72D7"/>
    <w:rsid w:val="00600FBF"/>
    <w:rsid w:val="006015E3"/>
    <w:rsid w:val="00607E70"/>
    <w:rsid w:val="0061282F"/>
    <w:rsid w:val="00614795"/>
    <w:rsid w:val="006147BA"/>
    <w:rsid w:val="00614F72"/>
    <w:rsid w:val="00617967"/>
    <w:rsid w:val="00630A1A"/>
    <w:rsid w:val="006311ED"/>
    <w:rsid w:val="00635A87"/>
    <w:rsid w:val="00642C61"/>
    <w:rsid w:val="0064604D"/>
    <w:rsid w:val="006554FB"/>
    <w:rsid w:val="0065608D"/>
    <w:rsid w:val="0066276C"/>
    <w:rsid w:val="0066353C"/>
    <w:rsid w:val="0066557D"/>
    <w:rsid w:val="00665853"/>
    <w:rsid w:val="006672C6"/>
    <w:rsid w:val="0068299B"/>
    <w:rsid w:val="00683324"/>
    <w:rsid w:val="00687C86"/>
    <w:rsid w:val="00697D4A"/>
    <w:rsid w:val="006A480A"/>
    <w:rsid w:val="006A637A"/>
    <w:rsid w:val="006A765C"/>
    <w:rsid w:val="006B2B9C"/>
    <w:rsid w:val="006B472F"/>
    <w:rsid w:val="006B4DD4"/>
    <w:rsid w:val="006D14F7"/>
    <w:rsid w:val="006D5A03"/>
    <w:rsid w:val="006D6F80"/>
    <w:rsid w:val="006E37D9"/>
    <w:rsid w:val="006F4F82"/>
    <w:rsid w:val="006F52B6"/>
    <w:rsid w:val="0070008D"/>
    <w:rsid w:val="007062B0"/>
    <w:rsid w:val="00706D32"/>
    <w:rsid w:val="00711BC9"/>
    <w:rsid w:val="00712A25"/>
    <w:rsid w:val="00713991"/>
    <w:rsid w:val="00716824"/>
    <w:rsid w:val="00720C87"/>
    <w:rsid w:val="00724666"/>
    <w:rsid w:val="00725630"/>
    <w:rsid w:val="007263F5"/>
    <w:rsid w:val="007271F3"/>
    <w:rsid w:val="00727770"/>
    <w:rsid w:val="00727F4E"/>
    <w:rsid w:val="00730A4C"/>
    <w:rsid w:val="00730D73"/>
    <w:rsid w:val="007356A5"/>
    <w:rsid w:val="007415C1"/>
    <w:rsid w:val="007416CC"/>
    <w:rsid w:val="007421DA"/>
    <w:rsid w:val="00752B7D"/>
    <w:rsid w:val="0075398D"/>
    <w:rsid w:val="007558B1"/>
    <w:rsid w:val="00756A78"/>
    <w:rsid w:val="0075707A"/>
    <w:rsid w:val="00757640"/>
    <w:rsid w:val="0076109F"/>
    <w:rsid w:val="00764173"/>
    <w:rsid w:val="00770317"/>
    <w:rsid w:val="0077078B"/>
    <w:rsid w:val="00780764"/>
    <w:rsid w:val="007818B2"/>
    <w:rsid w:val="007833BA"/>
    <w:rsid w:val="00783674"/>
    <w:rsid w:val="00784A4B"/>
    <w:rsid w:val="007867E5"/>
    <w:rsid w:val="0079242F"/>
    <w:rsid w:val="00794F42"/>
    <w:rsid w:val="007A2818"/>
    <w:rsid w:val="007A5D50"/>
    <w:rsid w:val="007A6480"/>
    <w:rsid w:val="007A6FD4"/>
    <w:rsid w:val="007A78E5"/>
    <w:rsid w:val="007B1327"/>
    <w:rsid w:val="007B552A"/>
    <w:rsid w:val="007C5777"/>
    <w:rsid w:val="007C6058"/>
    <w:rsid w:val="007D0FAB"/>
    <w:rsid w:val="007E087E"/>
    <w:rsid w:val="007E0C8A"/>
    <w:rsid w:val="007E2A65"/>
    <w:rsid w:val="007E44BE"/>
    <w:rsid w:val="007E4B27"/>
    <w:rsid w:val="007E4B66"/>
    <w:rsid w:val="007F2271"/>
    <w:rsid w:val="008002A9"/>
    <w:rsid w:val="00800D4B"/>
    <w:rsid w:val="00804BE1"/>
    <w:rsid w:val="00804F56"/>
    <w:rsid w:val="0080536C"/>
    <w:rsid w:val="0081238A"/>
    <w:rsid w:val="008172D4"/>
    <w:rsid w:val="008271B9"/>
    <w:rsid w:val="00834FC4"/>
    <w:rsid w:val="0083627A"/>
    <w:rsid w:val="00836B58"/>
    <w:rsid w:val="00837EA3"/>
    <w:rsid w:val="008421A0"/>
    <w:rsid w:val="00842EE8"/>
    <w:rsid w:val="0084541D"/>
    <w:rsid w:val="00855DA7"/>
    <w:rsid w:val="008575A1"/>
    <w:rsid w:val="0085774C"/>
    <w:rsid w:val="00857D5C"/>
    <w:rsid w:val="008665F2"/>
    <w:rsid w:val="00870FA3"/>
    <w:rsid w:val="008715A6"/>
    <w:rsid w:val="008736C8"/>
    <w:rsid w:val="00877C2C"/>
    <w:rsid w:val="008819ED"/>
    <w:rsid w:val="0088713A"/>
    <w:rsid w:val="00890A77"/>
    <w:rsid w:val="008934CB"/>
    <w:rsid w:val="00893A83"/>
    <w:rsid w:val="0089450B"/>
    <w:rsid w:val="008A3B4F"/>
    <w:rsid w:val="008A5AD0"/>
    <w:rsid w:val="008A5E15"/>
    <w:rsid w:val="008B20D9"/>
    <w:rsid w:val="008C39F2"/>
    <w:rsid w:val="008D2E99"/>
    <w:rsid w:val="008D523D"/>
    <w:rsid w:val="008D63A8"/>
    <w:rsid w:val="008E1A13"/>
    <w:rsid w:val="008E6152"/>
    <w:rsid w:val="008E7370"/>
    <w:rsid w:val="008F32F5"/>
    <w:rsid w:val="008F3B3E"/>
    <w:rsid w:val="008F6072"/>
    <w:rsid w:val="008F7A8F"/>
    <w:rsid w:val="009202B2"/>
    <w:rsid w:val="00924E79"/>
    <w:rsid w:val="009305B8"/>
    <w:rsid w:val="009327A7"/>
    <w:rsid w:val="00933011"/>
    <w:rsid w:val="00933CFE"/>
    <w:rsid w:val="00934871"/>
    <w:rsid w:val="00942C58"/>
    <w:rsid w:val="00944EB5"/>
    <w:rsid w:val="00945A4A"/>
    <w:rsid w:val="00950A79"/>
    <w:rsid w:val="00953615"/>
    <w:rsid w:val="00954922"/>
    <w:rsid w:val="00960572"/>
    <w:rsid w:val="0096261A"/>
    <w:rsid w:val="009656A3"/>
    <w:rsid w:val="00966A69"/>
    <w:rsid w:val="00966C4E"/>
    <w:rsid w:val="00973711"/>
    <w:rsid w:val="00975E6A"/>
    <w:rsid w:val="00976C6D"/>
    <w:rsid w:val="00976D7F"/>
    <w:rsid w:val="00981BA8"/>
    <w:rsid w:val="00982C8C"/>
    <w:rsid w:val="00984692"/>
    <w:rsid w:val="00986C63"/>
    <w:rsid w:val="009879CF"/>
    <w:rsid w:val="0099033C"/>
    <w:rsid w:val="00992C67"/>
    <w:rsid w:val="00993488"/>
    <w:rsid w:val="0099747C"/>
    <w:rsid w:val="0099786E"/>
    <w:rsid w:val="00997CED"/>
    <w:rsid w:val="009A501D"/>
    <w:rsid w:val="009A6DFD"/>
    <w:rsid w:val="009A759F"/>
    <w:rsid w:val="009B0D22"/>
    <w:rsid w:val="009B5D82"/>
    <w:rsid w:val="009C4479"/>
    <w:rsid w:val="009C7233"/>
    <w:rsid w:val="009D484D"/>
    <w:rsid w:val="009E7BD1"/>
    <w:rsid w:val="009F0648"/>
    <w:rsid w:val="009F55CA"/>
    <w:rsid w:val="00A01AEE"/>
    <w:rsid w:val="00A07205"/>
    <w:rsid w:val="00A15AEB"/>
    <w:rsid w:val="00A20220"/>
    <w:rsid w:val="00A25B92"/>
    <w:rsid w:val="00A26D84"/>
    <w:rsid w:val="00A309B7"/>
    <w:rsid w:val="00A32156"/>
    <w:rsid w:val="00A36634"/>
    <w:rsid w:val="00A4257D"/>
    <w:rsid w:val="00A46A48"/>
    <w:rsid w:val="00A50834"/>
    <w:rsid w:val="00A52DB3"/>
    <w:rsid w:val="00A56171"/>
    <w:rsid w:val="00A57AC1"/>
    <w:rsid w:val="00A615E7"/>
    <w:rsid w:val="00A61E6E"/>
    <w:rsid w:val="00A62A44"/>
    <w:rsid w:val="00A70B05"/>
    <w:rsid w:val="00A71064"/>
    <w:rsid w:val="00A722B7"/>
    <w:rsid w:val="00A74EF1"/>
    <w:rsid w:val="00A7630A"/>
    <w:rsid w:val="00A770CA"/>
    <w:rsid w:val="00A7760D"/>
    <w:rsid w:val="00A823FE"/>
    <w:rsid w:val="00A86B13"/>
    <w:rsid w:val="00A9520A"/>
    <w:rsid w:val="00A9590D"/>
    <w:rsid w:val="00A97076"/>
    <w:rsid w:val="00AA12D9"/>
    <w:rsid w:val="00AA4581"/>
    <w:rsid w:val="00AA4A9A"/>
    <w:rsid w:val="00AB315E"/>
    <w:rsid w:val="00AB5F3D"/>
    <w:rsid w:val="00AB70CF"/>
    <w:rsid w:val="00AC0B8C"/>
    <w:rsid w:val="00AC3FF5"/>
    <w:rsid w:val="00AC40D3"/>
    <w:rsid w:val="00AC40F9"/>
    <w:rsid w:val="00AC5142"/>
    <w:rsid w:val="00AC5ADC"/>
    <w:rsid w:val="00AC6865"/>
    <w:rsid w:val="00AC79BF"/>
    <w:rsid w:val="00AD3192"/>
    <w:rsid w:val="00AD4377"/>
    <w:rsid w:val="00AD44B7"/>
    <w:rsid w:val="00AD702B"/>
    <w:rsid w:val="00AE02DD"/>
    <w:rsid w:val="00AE6B6C"/>
    <w:rsid w:val="00AE6CB5"/>
    <w:rsid w:val="00AE7360"/>
    <w:rsid w:val="00AF13FD"/>
    <w:rsid w:val="00AF4ECE"/>
    <w:rsid w:val="00AF6246"/>
    <w:rsid w:val="00B00706"/>
    <w:rsid w:val="00B0245C"/>
    <w:rsid w:val="00B079EB"/>
    <w:rsid w:val="00B10200"/>
    <w:rsid w:val="00B13068"/>
    <w:rsid w:val="00B144E0"/>
    <w:rsid w:val="00B172F2"/>
    <w:rsid w:val="00B176C9"/>
    <w:rsid w:val="00B248E4"/>
    <w:rsid w:val="00B2504B"/>
    <w:rsid w:val="00B26437"/>
    <w:rsid w:val="00B315FB"/>
    <w:rsid w:val="00B3354B"/>
    <w:rsid w:val="00B339D3"/>
    <w:rsid w:val="00B34ACA"/>
    <w:rsid w:val="00B40F74"/>
    <w:rsid w:val="00B470A5"/>
    <w:rsid w:val="00B50C73"/>
    <w:rsid w:val="00B50DE2"/>
    <w:rsid w:val="00B66464"/>
    <w:rsid w:val="00B66E3F"/>
    <w:rsid w:val="00B70BE2"/>
    <w:rsid w:val="00B71C12"/>
    <w:rsid w:val="00B72A6E"/>
    <w:rsid w:val="00B734E5"/>
    <w:rsid w:val="00B81E16"/>
    <w:rsid w:val="00B8244F"/>
    <w:rsid w:val="00B82A24"/>
    <w:rsid w:val="00B85D4C"/>
    <w:rsid w:val="00B9470A"/>
    <w:rsid w:val="00B97747"/>
    <w:rsid w:val="00B97DA0"/>
    <w:rsid w:val="00BA30B9"/>
    <w:rsid w:val="00BC1A5F"/>
    <w:rsid w:val="00BC364D"/>
    <w:rsid w:val="00BC3F18"/>
    <w:rsid w:val="00BC3FF3"/>
    <w:rsid w:val="00BC4FF3"/>
    <w:rsid w:val="00BD1266"/>
    <w:rsid w:val="00BD3277"/>
    <w:rsid w:val="00BD5A51"/>
    <w:rsid w:val="00BE02EF"/>
    <w:rsid w:val="00BE3710"/>
    <w:rsid w:val="00BE66CB"/>
    <w:rsid w:val="00BE73EC"/>
    <w:rsid w:val="00BF0EE3"/>
    <w:rsid w:val="00BF1B3A"/>
    <w:rsid w:val="00BF3C0F"/>
    <w:rsid w:val="00BF586A"/>
    <w:rsid w:val="00C00399"/>
    <w:rsid w:val="00C01BB3"/>
    <w:rsid w:val="00C067D9"/>
    <w:rsid w:val="00C14B14"/>
    <w:rsid w:val="00C158DF"/>
    <w:rsid w:val="00C15D45"/>
    <w:rsid w:val="00C24591"/>
    <w:rsid w:val="00C32F3E"/>
    <w:rsid w:val="00C32F45"/>
    <w:rsid w:val="00C33819"/>
    <w:rsid w:val="00C34236"/>
    <w:rsid w:val="00C379DA"/>
    <w:rsid w:val="00C41E9F"/>
    <w:rsid w:val="00C4237F"/>
    <w:rsid w:val="00C427FF"/>
    <w:rsid w:val="00C46D60"/>
    <w:rsid w:val="00C51359"/>
    <w:rsid w:val="00C57095"/>
    <w:rsid w:val="00C628AA"/>
    <w:rsid w:val="00C66274"/>
    <w:rsid w:val="00C67E24"/>
    <w:rsid w:val="00C70D4E"/>
    <w:rsid w:val="00C75CEF"/>
    <w:rsid w:val="00C76A84"/>
    <w:rsid w:val="00C77BCC"/>
    <w:rsid w:val="00C8020D"/>
    <w:rsid w:val="00C80858"/>
    <w:rsid w:val="00C8337C"/>
    <w:rsid w:val="00C83690"/>
    <w:rsid w:val="00C90E1A"/>
    <w:rsid w:val="00C94974"/>
    <w:rsid w:val="00CA328A"/>
    <w:rsid w:val="00CA3F41"/>
    <w:rsid w:val="00CB0FB7"/>
    <w:rsid w:val="00CB129B"/>
    <w:rsid w:val="00CB12F5"/>
    <w:rsid w:val="00CB3530"/>
    <w:rsid w:val="00CB61CD"/>
    <w:rsid w:val="00CB6233"/>
    <w:rsid w:val="00CC3E4F"/>
    <w:rsid w:val="00CC560D"/>
    <w:rsid w:val="00CC685E"/>
    <w:rsid w:val="00CD0C77"/>
    <w:rsid w:val="00CD43F1"/>
    <w:rsid w:val="00CD6C47"/>
    <w:rsid w:val="00CE13B7"/>
    <w:rsid w:val="00CF17B7"/>
    <w:rsid w:val="00CF27F7"/>
    <w:rsid w:val="00CF31B4"/>
    <w:rsid w:val="00CF3208"/>
    <w:rsid w:val="00D02797"/>
    <w:rsid w:val="00D071B7"/>
    <w:rsid w:val="00D07E87"/>
    <w:rsid w:val="00D11A54"/>
    <w:rsid w:val="00D12C0A"/>
    <w:rsid w:val="00D141EB"/>
    <w:rsid w:val="00D15EE1"/>
    <w:rsid w:val="00D2121B"/>
    <w:rsid w:val="00D263D1"/>
    <w:rsid w:val="00D42D40"/>
    <w:rsid w:val="00D47D0D"/>
    <w:rsid w:val="00D5071A"/>
    <w:rsid w:val="00D50BFC"/>
    <w:rsid w:val="00D50DB5"/>
    <w:rsid w:val="00D53050"/>
    <w:rsid w:val="00D63198"/>
    <w:rsid w:val="00D66BFD"/>
    <w:rsid w:val="00D67CC6"/>
    <w:rsid w:val="00D70BB0"/>
    <w:rsid w:val="00D80192"/>
    <w:rsid w:val="00D817A9"/>
    <w:rsid w:val="00D85F60"/>
    <w:rsid w:val="00D91574"/>
    <w:rsid w:val="00D95676"/>
    <w:rsid w:val="00D97901"/>
    <w:rsid w:val="00DA4FF5"/>
    <w:rsid w:val="00DC6DF2"/>
    <w:rsid w:val="00DD7663"/>
    <w:rsid w:val="00DE31C2"/>
    <w:rsid w:val="00DE3F8C"/>
    <w:rsid w:val="00DE65C5"/>
    <w:rsid w:val="00DF0428"/>
    <w:rsid w:val="00DF3BA7"/>
    <w:rsid w:val="00DF42A9"/>
    <w:rsid w:val="00E01725"/>
    <w:rsid w:val="00E05762"/>
    <w:rsid w:val="00E071F2"/>
    <w:rsid w:val="00E073BC"/>
    <w:rsid w:val="00E07AB2"/>
    <w:rsid w:val="00E07DD6"/>
    <w:rsid w:val="00E07EE7"/>
    <w:rsid w:val="00E10C72"/>
    <w:rsid w:val="00E14721"/>
    <w:rsid w:val="00E213CE"/>
    <w:rsid w:val="00E24D31"/>
    <w:rsid w:val="00E3066A"/>
    <w:rsid w:val="00E3326D"/>
    <w:rsid w:val="00E33FAB"/>
    <w:rsid w:val="00E36861"/>
    <w:rsid w:val="00E41EF3"/>
    <w:rsid w:val="00E446CC"/>
    <w:rsid w:val="00E464F9"/>
    <w:rsid w:val="00E47460"/>
    <w:rsid w:val="00E5476C"/>
    <w:rsid w:val="00E5720C"/>
    <w:rsid w:val="00E60CA7"/>
    <w:rsid w:val="00E61F79"/>
    <w:rsid w:val="00E74B47"/>
    <w:rsid w:val="00E80C4E"/>
    <w:rsid w:val="00E8267B"/>
    <w:rsid w:val="00E83638"/>
    <w:rsid w:val="00E83AE3"/>
    <w:rsid w:val="00E96498"/>
    <w:rsid w:val="00E97071"/>
    <w:rsid w:val="00EA0AA3"/>
    <w:rsid w:val="00EA4D3A"/>
    <w:rsid w:val="00EA4F60"/>
    <w:rsid w:val="00EA540D"/>
    <w:rsid w:val="00EB2AD7"/>
    <w:rsid w:val="00EC118B"/>
    <w:rsid w:val="00ED5A95"/>
    <w:rsid w:val="00ED7933"/>
    <w:rsid w:val="00EE0C4E"/>
    <w:rsid w:val="00EE495F"/>
    <w:rsid w:val="00EF4607"/>
    <w:rsid w:val="00EF699D"/>
    <w:rsid w:val="00F10257"/>
    <w:rsid w:val="00F1092A"/>
    <w:rsid w:val="00F122C3"/>
    <w:rsid w:val="00F12C6D"/>
    <w:rsid w:val="00F17942"/>
    <w:rsid w:val="00F23F05"/>
    <w:rsid w:val="00F2441F"/>
    <w:rsid w:val="00F267DC"/>
    <w:rsid w:val="00F3085A"/>
    <w:rsid w:val="00F31512"/>
    <w:rsid w:val="00F45D2F"/>
    <w:rsid w:val="00F533C5"/>
    <w:rsid w:val="00F64456"/>
    <w:rsid w:val="00F668B8"/>
    <w:rsid w:val="00F754D0"/>
    <w:rsid w:val="00F756EB"/>
    <w:rsid w:val="00F81D69"/>
    <w:rsid w:val="00F851DD"/>
    <w:rsid w:val="00F85376"/>
    <w:rsid w:val="00F87FD1"/>
    <w:rsid w:val="00F93412"/>
    <w:rsid w:val="00F94B60"/>
    <w:rsid w:val="00F96A24"/>
    <w:rsid w:val="00FA0B83"/>
    <w:rsid w:val="00FA32F6"/>
    <w:rsid w:val="00FA679C"/>
    <w:rsid w:val="00FB13F1"/>
    <w:rsid w:val="00FB6532"/>
    <w:rsid w:val="00FB7FC2"/>
    <w:rsid w:val="00FC5418"/>
    <w:rsid w:val="00FD6611"/>
    <w:rsid w:val="00FD7E82"/>
    <w:rsid w:val="00FE12FD"/>
    <w:rsid w:val="00FE1CBE"/>
    <w:rsid w:val="00FE2F9F"/>
    <w:rsid w:val="00FF1A99"/>
    <w:rsid w:val="00FF3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2AAA"/>
  <w15:chartTrackingRefBased/>
  <w15:docId w15:val="{098C127B-BDD6-48B5-8DBA-25894783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31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ListParagraph">
    <w:name w:val="List Paragraph"/>
    <w:basedOn w:val="Normal"/>
    <w:uiPriority w:val="34"/>
    <w:qFormat/>
    <w:rsid w:val="00073319"/>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7A6FD4"/>
    <w:rPr>
      <w:sz w:val="16"/>
      <w:szCs w:val="16"/>
    </w:rPr>
  </w:style>
  <w:style w:type="paragraph" w:styleId="CommentText">
    <w:name w:val="annotation text"/>
    <w:basedOn w:val="Normal"/>
    <w:link w:val="CommentTextChar"/>
    <w:uiPriority w:val="99"/>
    <w:unhideWhenUsed/>
    <w:rsid w:val="007A6FD4"/>
    <w:pPr>
      <w:spacing w:line="240" w:lineRule="auto"/>
    </w:pPr>
    <w:rPr>
      <w:sz w:val="20"/>
      <w:szCs w:val="20"/>
    </w:rPr>
  </w:style>
  <w:style w:type="character" w:customStyle="1" w:styleId="CommentTextChar">
    <w:name w:val="Comment Text Char"/>
    <w:basedOn w:val="DefaultParagraphFont"/>
    <w:link w:val="CommentText"/>
    <w:uiPriority w:val="99"/>
    <w:rsid w:val="007A6FD4"/>
    <w:rPr>
      <w:sz w:val="20"/>
      <w:szCs w:val="20"/>
    </w:rPr>
  </w:style>
  <w:style w:type="paragraph" w:styleId="CommentSubject">
    <w:name w:val="annotation subject"/>
    <w:basedOn w:val="CommentText"/>
    <w:next w:val="CommentText"/>
    <w:link w:val="CommentSubjectChar"/>
    <w:uiPriority w:val="99"/>
    <w:semiHidden/>
    <w:unhideWhenUsed/>
    <w:rsid w:val="007A6FD4"/>
    <w:rPr>
      <w:b/>
      <w:bCs/>
    </w:rPr>
  </w:style>
  <w:style w:type="character" w:customStyle="1" w:styleId="CommentSubjectChar">
    <w:name w:val="Comment Subject Char"/>
    <w:basedOn w:val="CommentTextChar"/>
    <w:link w:val="CommentSubject"/>
    <w:uiPriority w:val="99"/>
    <w:semiHidden/>
    <w:rsid w:val="007A6FD4"/>
    <w:rPr>
      <w:b/>
      <w:bCs/>
      <w:sz w:val="20"/>
      <w:szCs w:val="20"/>
    </w:rPr>
  </w:style>
  <w:style w:type="paragraph" w:styleId="BalloonText">
    <w:name w:val="Balloon Text"/>
    <w:basedOn w:val="Normal"/>
    <w:link w:val="BalloonTextChar"/>
    <w:uiPriority w:val="99"/>
    <w:semiHidden/>
    <w:unhideWhenUsed/>
    <w:rsid w:val="007A6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D4"/>
    <w:rPr>
      <w:rFonts w:ascii="Segoe UI" w:hAnsi="Segoe UI" w:cs="Segoe UI"/>
      <w:sz w:val="18"/>
      <w:szCs w:val="18"/>
    </w:rPr>
  </w:style>
  <w:style w:type="paragraph" w:styleId="FootnoteText">
    <w:name w:val="footnote text"/>
    <w:basedOn w:val="Normal"/>
    <w:link w:val="FootnoteTextChar"/>
    <w:uiPriority w:val="99"/>
    <w:semiHidden/>
    <w:unhideWhenUsed/>
    <w:rsid w:val="00592A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AA2"/>
    <w:rPr>
      <w:sz w:val="20"/>
      <w:szCs w:val="20"/>
    </w:rPr>
  </w:style>
  <w:style w:type="character" w:styleId="FootnoteReference">
    <w:name w:val="footnote reference"/>
    <w:basedOn w:val="DefaultParagraphFont"/>
    <w:uiPriority w:val="99"/>
    <w:semiHidden/>
    <w:unhideWhenUsed/>
    <w:rsid w:val="00592AA2"/>
    <w:rPr>
      <w:vertAlign w:val="superscript"/>
    </w:rPr>
  </w:style>
  <w:style w:type="paragraph" w:styleId="Header">
    <w:name w:val="header"/>
    <w:basedOn w:val="Normal"/>
    <w:link w:val="HeaderChar"/>
    <w:uiPriority w:val="99"/>
    <w:unhideWhenUsed/>
    <w:rsid w:val="00DF04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0428"/>
  </w:style>
  <w:style w:type="paragraph" w:styleId="Footer">
    <w:name w:val="footer"/>
    <w:basedOn w:val="Normal"/>
    <w:link w:val="FooterChar"/>
    <w:uiPriority w:val="99"/>
    <w:unhideWhenUsed/>
    <w:rsid w:val="00DF04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0428"/>
  </w:style>
  <w:style w:type="character" w:customStyle="1" w:styleId="RAtexteCar">
    <w:name w:val="RA texte Car"/>
    <w:basedOn w:val="DefaultParagraphFont"/>
    <w:link w:val="RAtexte"/>
    <w:locked/>
    <w:rsid w:val="00CC560D"/>
    <w:rPr>
      <w:rFonts w:ascii="Calibri" w:hAnsi="Calibri" w:cs="Calibri"/>
    </w:rPr>
  </w:style>
  <w:style w:type="paragraph" w:customStyle="1" w:styleId="RAtexte">
    <w:name w:val="RA texte"/>
    <w:basedOn w:val="Normal"/>
    <w:link w:val="RAtexteCar"/>
    <w:rsid w:val="00CC560D"/>
    <w:pPr>
      <w:spacing w:after="0" w:line="240" w:lineRule="auto"/>
      <w:jc w:val="both"/>
    </w:pPr>
    <w:rPr>
      <w:rFonts w:ascii="Calibri" w:hAnsi="Calibri" w:cs="Calibri"/>
    </w:rPr>
  </w:style>
  <w:style w:type="character" w:styleId="Hyperlink">
    <w:name w:val="Hyperlink"/>
    <w:basedOn w:val="DefaultParagraphFont"/>
    <w:uiPriority w:val="99"/>
    <w:unhideWhenUsed/>
    <w:rsid w:val="0031411F"/>
    <w:rPr>
      <w:color w:val="0563C1" w:themeColor="hyperlink"/>
      <w:u w:val="single"/>
    </w:rPr>
  </w:style>
  <w:style w:type="character" w:styleId="UnresolvedMention">
    <w:name w:val="Unresolved Mention"/>
    <w:basedOn w:val="DefaultParagraphFont"/>
    <w:uiPriority w:val="99"/>
    <w:semiHidden/>
    <w:unhideWhenUsed/>
    <w:rsid w:val="0031411F"/>
    <w:rPr>
      <w:color w:val="605E5C"/>
      <w:shd w:val="clear" w:color="auto" w:fill="E1DFDD"/>
    </w:rPr>
  </w:style>
  <w:style w:type="character" w:styleId="FollowedHyperlink">
    <w:name w:val="FollowedHyperlink"/>
    <w:basedOn w:val="DefaultParagraphFont"/>
    <w:uiPriority w:val="99"/>
    <w:semiHidden/>
    <w:unhideWhenUsed/>
    <w:rsid w:val="00764173"/>
    <w:rPr>
      <w:color w:val="954F72" w:themeColor="followedHyperlink"/>
      <w:u w:val="single"/>
    </w:rPr>
  </w:style>
  <w:style w:type="paragraph" w:styleId="Revision">
    <w:name w:val="Revision"/>
    <w:hidden/>
    <w:uiPriority w:val="99"/>
    <w:semiHidden/>
    <w:rsid w:val="00A15AEB"/>
    <w:pPr>
      <w:spacing w:after="0" w:line="240" w:lineRule="auto"/>
    </w:pPr>
  </w:style>
  <w:style w:type="character" w:customStyle="1" w:styleId="ui-provider">
    <w:name w:val="ui-provider"/>
    <w:basedOn w:val="DefaultParagraphFont"/>
    <w:rsid w:val="00CE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49116">
      <w:bodyDiv w:val="1"/>
      <w:marLeft w:val="0"/>
      <w:marRight w:val="0"/>
      <w:marTop w:val="0"/>
      <w:marBottom w:val="0"/>
      <w:divBdr>
        <w:top w:val="none" w:sz="0" w:space="0" w:color="auto"/>
        <w:left w:val="none" w:sz="0" w:space="0" w:color="auto"/>
        <w:bottom w:val="none" w:sz="0" w:space="0" w:color="auto"/>
        <w:right w:val="none" w:sz="0" w:space="0" w:color="auto"/>
      </w:divBdr>
    </w:div>
    <w:div w:id="1384137421">
      <w:bodyDiv w:val="1"/>
      <w:marLeft w:val="0"/>
      <w:marRight w:val="0"/>
      <w:marTop w:val="0"/>
      <w:marBottom w:val="0"/>
      <w:divBdr>
        <w:top w:val="none" w:sz="0" w:space="0" w:color="auto"/>
        <w:left w:val="none" w:sz="0" w:space="0" w:color="auto"/>
        <w:bottom w:val="none" w:sz="0" w:space="0" w:color="auto"/>
        <w:right w:val="none" w:sz="0" w:space="0" w:color="auto"/>
      </w:divBdr>
    </w:div>
    <w:div w:id="1602495808">
      <w:bodyDiv w:val="1"/>
      <w:marLeft w:val="0"/>
      <w:marRight w:val="0"/>
      <w:marTop w:val="0"/>
      <w:marBottom w:val="0"/>
      <w:divBdr>
        <w:top w:val="none" w:sz="0" w:space="0" w:color="auto"/>
        <w:left w:val="none" w:sz="0" w:space="0" w:color="auto"/>
        <w:bottom w:val="none" w:sz="0" w:space="0" w:color="auto"/>
        <w:right w:val="none" w:sz="0" w:space="0" w:color="auto"/>
      </w:divBdr>
    </w:div>
    <w:div w:id="1825703892">
      <w:bodyDiv w:val="1"/>
      <w:marLeft w:val="0"/>
      <w:marRight w:val="0"/>
      <w:marTop w:val="0"/>
      <w:marBottom w:val="0"/>
      <w:divBdr>
        <w:top w:val="none" w:sz="0" w:space="0" w:color="auto"/>
        <w:left w:val="none" w:sz="0" w:space="0" w:color="auto"/>
        <w:bottom w:val="none" w:sz="0" w:space="0" w:color="auto"/>
        <w:right w:val="none" w:sz="0" w:space="0" w:color="auto"/>
      </w:divBdr>
    </w:div>
    <w:div w:id="21298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simonet@bred.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la.salimi@bred.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memMaskX8372%20file:///\\dsid_commun.fichier.production.local\dsid_commun\8561%20DIR%20Contr&#244;le%20de%20Gestion%20et%20Tarification\05%20-%20Communication%20externe\06%20-%20Pr&#233;sentations\Conseil\2025.02\Camembert_FY%202024%20PN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70C0"/>
              </a:solidFill>
              <a:ln w="19050">
                <a:solidFill>
                  <a:schemeClr val="lt1"/>
                </a:solidFill>
              </a:ln>
              <a:effectLst/>
            </c:spPr>
            <c:extLst>
              <c:ext xmlns:c16="http://schemas.microsoft.com/office/drawing/2014/chart" uri="{C3380CC4-5D6E-409C-BE32-E72D297353CC}">
                <c16:uniqueId val="{00000001-A865-45D3-984D-B91D77C8C6DD}"/>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A865-45D3-984D-B91D77C8C6DD}"/>
              </c:ext>
            </c:extLst>
          </c:dPt>
          <c:dPt>
            <c:idx val="2"/>
            <c:bubble3D val="0"/>
            <c:spPr>
              <a:solidFill>
                <a:srgbClr val="003C82"/>
              </a:solidFill>
              <a:ln w="19050">
                <a:solidFill>
                  <a:schemeClr val="lt1"/>
                </a:solidFill>
              </a:ln>
              <a:effectLst/>
            </c:spPr>
            <c:extLst>
              <c:ext xmlns:c16="http://schemas.microsoft.com/office/drawing/2014/chart" uri="{C3380CC4-5D6E-409C-BE32-E72D297353CC}">
                <c16:uniqueId val="{00000005-A865-45D3-984D-B91D77C8C6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865-45D3-984D-B91D77C8C6DD}"/>
              </c:ext>
            </c:extLst>
          </c:dPt>
          <c:dLbls>
            <c:dLbl>
              <c:idx val="0"/>
              <c:layout>
                <c:manualLayout>
                  <c:x val="0.18019699976527331"/>
                  <c:y val="-8.717505942474571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rgbClr val="0070C0"/>
                        </a:solidFill>
                        <a:latin typeface="Gill Sans Std" panose="020B0502020104020203" pitchFamily="34" charset="0"/>
                        <a:ea typeface="+mn-ea"/>
                        <a:cs typeface="+mn-cs"/>
                      </a:defRPr>
                    </a:pPr>
                    <a:r>
                      <a:rPr lang="en-US"/>
                      <a:t>Commercial</a:t>
                    </a:r>
                    <a:r>
                      <a:rPr lang="en-US" baseline="0"/>
                      <a:t> Banking France
</a:t>
                    </a:r>
                    <a:fld id="{602447AC-9C70-4624-8345-4A07A139709B}" type="PERCENTAGE">
                      <a:rPr lang="en-US" baseline="0"/>
                      <a:pPr>
                        <a:defRPr sz="1100" b="1">
                          <a:solidFill>
                            <a:srgbClr val="0070C0"/>
                          </a:solidFill>
                          <a:latin typeface="Gill Sans Std" panose="020B0502020104020203" pitchFamily="34" charset="0"/>
                        </a:defRPr>
                      </a:pPr>
                      <a:t>[PERCENTAGE]</a:t>
                    </a:fld>
                    <a:endParaRPr lang="en-US" baseline="0"/>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rgbClr val="0070C0"/>
                      </a:solidFill>
                      <a:latin typeface="Gill Sans Std" panose="020B0502020104020203" pitchFamily="34" charset="0"/>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4338134562447981"/>
                      <c:h val="0.20484231117715962"/>
                    </c:manualLayout>
                  </c15:layout>
                  <c15:dlblFieldTable/>
                  <c15:showDataLabelsRange val="0"/>
                </c:ext>
                <c:ext xmlns:c16="http://schemas.microsoft.com/office/drawing/2014/chart" uri="{C3380CC4-5D6E-409C-BE32-E72D297353CC}">
                  <c16:uniqueId val="{00000001-A865-45D3-984D-B91D77C8C6DD}"/>
                </c:ext>
              </c:extLst>
            </c:dLbl>
            <c:dLbl>
              <c:idx val="1"/>
              <c:layout>
                <c:manualLayout>
                  <c:x val="-0.21534105797750891"/>
                  <c:y val="5.5455893001338151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bg1">
                            <a:lumMod val="50000"/>
                          </a:schemeClr>
                        </a:solidFill>
                        <a:latin typeface="Gill Sans Std" panose="020B0502020104020203" pitchFamily="34" charset="0"/>
                        <a:ea typeface="+mn-ea"/>
                        <a:cs typeface="+mn-cs"/>
                      </a:defRPr>
                    </a:pPr>
                    <a:r>
                      <a:rPr lang="en-US" baseline="0"/>
                      <a:t>Corporate and Investment Banking
</a:t>
                    </a:r>
                    <a:fld id="{248ECBBC-00A5-4200-A244-961E961583CB}" type="PERCENTAGE">
                      <a:rPr lang="en-US" baseline="0"/>
                      <a:pPr>
                        <a:defRPr sz="1100" b="1">
                          <a:solidFill>
                            <a:schemeClr val="bg1">
                              <a:lumMod val="50000"/>
                            </a:schemeClr>
                          </a:solidFill>
                          <a:latin typeface="Gill Sans Std" panose="020B0502020104020203" pitchFamily="34" charset="0"/>
                        </a:defRPr>
                      </a:pPr>
                      <a:t>[PERCENTAGE]</a:t>
                    </a:fld>
                    <a:endParaRPr lang="en-US" baseline="0"/>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bg1">
                          <a:lumMod val="50000"/>
                        </a:schemeClr>
                      </a:solidFill>
                      <a:latin typeface="Gill Sans Std" panose="020B0502020104020203" pitchFamily="34" charset="0"/>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46186082837206327"/>
                      <c:h val="0.25597261343776417"/>
                    </c:manualLayout>
                  </c15:layout>
                  <c15:dlblFieldTable/>
                  <c15:showDataLabelsRange val="0"/>
                </c:ext>
                <c:ext xmlns:c16="http://schemas.microsoft.com/office/drawing/2014/chart" uri="{C3380CC4-5D6E-409C-BE32-E72D297353CC}">
                  <c16:uniqueId val="{00000003-A865-45D3-984D-B91D77C8C6DD}"/>
                </c:ext>
              </c:extLst>
            </c:dLbl>
            <c:dLbl>
              <c:idx val="2"/>
              <c:layout>
                <c:manualLayout>
                  <c:x val="-0.18815679747348657"/>
                  <c:y val="4.0670409699028354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rgbClr val="002060"/>
                        </a:solidFill>
                        <a:latin typeface="Gill Sans Std" panose="020B0502020104020203" pitchFamily="34" charset="0"/>
                        <a:ea typeface="+mn-ea"/>
                        <a:cs typeface="+mn-cs"/>
                      </a:defRPr>
                    </a:pPr>
                    <a:r>
                      <a:rPr lang="en-US" baseline="0"/>
                      <a:t>International and Overseas Territories Banking
</a:t>
                    </a:r>
                    <a:fld id="{EBED3581-04C9-4E55-B59D-A1D4098EBFC3}" type="PERCENTAGE">
                      <a:rPr lang="en-US" baseline="0"/>
                      <a:pPr>
                        <a:defRPr sz="1100" b="1">
                          <a:solidFill>
                            <a:srgbClr val="002060"/>
                          </a:solidFill>
                          <a:latin typeface="Gill Sans Std" panose="020B0502020104020203" pitchFamily="34" charset="0"/>
                        </a:defRPr>
                      </a:pPr>
                      <a:t>[PERCENTAGE]</a:t>
                    </a:fld>
                    <a:endParaRPr lang="en-US" baseline="0"/>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rgbClr val="002060"/>
                      </a:solidFill>
                      <a:latin typeface="Gill Sans Std" panose="020B0502020104020203" pitchFamily="34" charset="0"/>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69494483921217"/>
                      <c:h val="0.23671406745798565"/>
                    </c:manualLayout>
                  </c15:layout>
                  <c15:dlblFieldTable/>
                  <c15:showDataLabelsRange val="0"/>
                </c:ext>
                <c:ext xmlns:c16="http://schemas.microsoft.com/office/drawing/2014/chart" uri="{C3380CC4-5D6E-409C-BE32-E72D297353CC}">
                  <c16:uniqueId val="{00000005-A865-45D3-984D-B91D77C8C6DD}"/>
                </c:ext>
              </c:extLst>
            </c:dLbl>
            <c:dLbl>
              <c:idx val="3"/>
              <c:layout>
                <c:manualLayout>
                  <c:x val="-0.21238435439472511"/>
                  <c:y val="-5.9384939665401718E-2"/>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rgbClr val="FFC000"/>
                        </a:solidFill>
                        <a:latin typeface="Gill Sans Std" panose="020B0502020104020203" pitchFamily="34" charset="0"/>
                        <a:ea typeface="+mn-ea"/>
                        <a:cs typeface="+mn-cs"/>
                      </a:defRPr>
                    </a:pPr>
                    <a:r>
                      <a:rPr lang="en-US"/>
                      <a:t>Sds</a:t>
                    </a:r>
                    <a:r>
                      <a:rPr lang="en-US" baseline="0"/>
                      <a:t>
</a:t>
                    </a:r>
                    <a:fld id="{6A3D9478-9F38-411A-86F6-02151BA882E3}" type="PERCENTAGE">
                      <a:rPr lang="en-US" baseline="0"/>
                      <a:pPr>
                        <a:defRPr sz="1100" b="1">
                          <a:solidFill>
                            <a:srgbClr val="FFC000"/>
                          </a:solidFill>
                          <a:latin typeface="Gill Sans Std" panose="020B0502020104020203" pitchFamily="34" charset="0"/>
                        </a:defRPr>
                      </a:pPr>
                      <a:t>[PERCENTAGE]</a:t>
                    </a:fld>
                    <a:endParaRPr lang="en-US" baseline="0"/>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rgbClr val="FFC000"/>
                      </a:solidFill>
                      <a:latin typeface="Gill Sans Std" panose="020B0502020104020203" pitchFamily="34" charset="0"/>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46676704436335703"/>
                      <c:h val="0.2428347214903385"/>
                    </c:manualLayout>
                  </c15:layout>
                  <c15:dlblFieldTable/>
                  <c15:showDataLabelsRange val="0"/>
                </c:ext>
                <c:ext xmlns:c16="http://schemas.microsoft.com/office/drawing/2014/chart" uri="{C3380CC4-5D6E-409C-BE32-E72D297353CC}">
                  <c16:uniqueId val="{00000007-A865-45D3-984D-B91D77C8C6DD}"/>
                </c:ext>
              </c:extLst>
            </c:dLbl>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Gill Sans Std" panose="020B0502020104020203" pitchFamily="34" charset="0"/>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'Camembert PNB'!$A$44:$A$47</c:f>
              <c:strCache>
                <c:ptCount val="4"/>
                <c:pt idx="0">
                  <c:v>Banque Commerciale France</c:v>
                </c:pt>
                <c:pt idx="1">
                  <c:v>Banque de Financement et d'Investissement</c:v>
                </c:pt>
                <c:pt idx="2">
                  <c:v>Banque à l'International et COM</c:v>
                </c:pt>
                <c:pt idx="3">
                  <c:v>Gestion consolidée des investissements</c:v>
                </c:pt>
              </c:strCache>
            </c:strRef>
          </c:cat>
          <c:val>
            <c:numRef>
              <c:f>'Camembert PNB'!$B$44:$B$47</c:f>
              <c:numCache>
                <c:formatCode>#,##0</c:formatCode>
                <c:ptCount val="4"/>
                <c:pt idx="0">
                  <c:v>682525.37249082397</c:v>
                </c:pt>
                <c:pt idx="1">
                  <c:v>395373.80189771904</c:v>
                </c:pt>
                <c:pt idx="2">
                  <c:v>321238.49831888208</c:v>
                </c:pt>
                <c:pt idx="3">
                  <c:v>179182.89980334151</c:v>
                </c:pt>
              </c:numCache>
            </c:numRef>
          </c:val>
          <c:extLst>
            <c:ext xmlns:c16="http://schemas.microsoft.com/office/drawing/2014/chart" uri="{C3380CC4-5D6E-409C-BE32-E72D297353CC}">
              <c16:uniqueId val="{00000008-A865-45D3-984D-B91D77C8C6DD}"/>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8B27F-8DBE-437B-8899-EDF57BB446D9}">
  <ds:schemaRefs>
    <ds:schemaRef ds:uri="http://schemas.openxmlformats.org/officeDocument/2006/bibliography"/>
  </ds:schemaRefs>
</ds:datastoreItem>
</file>

<file path=docMetadata/LabelInfo.xml><?xml version="1.0" encoding="utf-8"?>
<clbl:labelList xmlns:clbl="http://schemas.microsoft.com/office/2020/mipLabelMetadata">
  <clbl:label id="{7a23f81c-83fa-46a0-b5a7-1a82e7596f24}" enabled="1" method="Privileged" siteId="{1d123b40-06f1-4551-a329-ab5115fc11b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910</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BRED</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SIMONET [BRED-8423]</dc:creator>
  <cp:keywords/>
  <dc:description/>
  <cp:lastModifiedBy>DIAS PEREIRA, Sandrine</cp:lastModifiedBy>
  <cp:revision>3</cp:revision>
  <cp:lastPrinted>2024-02-27T14:58:00Z</cp:lastPrinted>
  <dcterms:created xsi:type="dcterms:W3CDTF">2025-03-03T16:29:00Z</dcterms:created>
  <dcterms:modified xsi:type="dcterms:W3CDTF">2025-03-03T16:32:00Z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83028081</vt:i4>
  </property>
</Properties>
</file>