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C3E8" w14:textId="77777777" w:rsidR="005D4199" w:rsidRPr="00AA074E" w:rsidRDefault="005D4199" w:rsidP="005D4199">
      <w:pPr>
        <w:spacing w:after="0" w:line="240" w:lineRule="auto"/>
        <w:jc w:val="right"/>
        <w:rPr>
          <w:rFonts w:ascii="Avenir Next LT Pro Demi" w:hAnsi="Avenir Next LT Pro Demi" w:cs="Aptos"/>
          <w:b/>
          <w:color w:val="665D54"/>
          <w:sz w:val="32"/>
          <w:szCs w:val="18"/>
        </w:rPr>
      </w:pPr>
      <w:r w:rsidRPr="00AA074E">
        <w:rPr>
          <w:rFonts w:ascii="Avenir Next LT Pro Demi" w:hAnsi="Avenir Next LT Pro Demi" w:cs="Aptos"/>
          <w:b/>
          <w:color w:val="665D54"/>
          <w:sz w:val="32"/>
          <w:szCs w:val="18"/>
        </w:rPr>
        <w:t>COMMUNIQUÉ DE PRESSE</w:t>
      </w:r>
    </w:p>
    <w:p w14:paraId="26E174E6" w14:textId="5A3FD47E" w:rsidR="005D4199" w:rsidRPr="00AA074E" w:rsidRDefault="005D4199" w:rsidP="005D4199">
      <w:pPr>
        <w:spacing w:after="0" w:line="240" w:lineRule="auto"/>
        <w:jc w:val="right"/>
        <w:rPr>
          <w:rFonts w:ascii="Avenir Next LT Pro Demi" w:hAnsi="Avenir Next LT Pro Demi" w:cs="Aptos"/>
          <w:sz w:val="20"/>
          <w:szCs w:val="18"/>
        </w:rPr>
      </w:pPr>
      <w:r w:rsidRPr="00655FF4">
        <w:rPr>
          <w:rFonts w:ascii="Avenir Next LT Pro Demi" w:hAnsi="Avenir Next LT Pro Demi" w:cs="Aptos"/>
          <w:sz w:val="20"/>
          <w:szCs w:val="18"/>
        </w:rPr>
        <w:t xml:space="preserve">Paris, le </w:t>
      </w:r>
      <w:r w:rsidR="00730597">
        <w:rPr>
          <w:rFonts w:ascii="Avenir Next LT Pro Demi" w:hAnsi="Avenir Next LT Pro Demi" w:cs="Aptos"/>
          <w:sz w:val="20"/>
          <w:szCs w:val="18"/>
        </w:rPr>
        <w:t>24</w:t>
      </w:r>
      <w:r w:rsidRPr="00655FF4">
        <w:rPr>
          <w:rFonts w:ascii="Avenir Next LT Pro Demi" w:hAnsi="Avenir Next LT Pro Demi" w:cs="Aptos"/>
          <w:sz w:val="20"/>
          <w:szCs w:val="18"/>
        </w:rPr>
        <w:t xml:space="preserve"> février 202</w:t>
      </w:r>
      <w:r w:rsidR="00655FF4" w:rsidRPr="00655FF4">
        <w:rPr>
          <w:rFonts w:ascii="Avenir Next LT Pro Demi" w:hAnsi="Avenir Next LT Pro Demi" w:cs="Aptos"/>
          <w:sz w:val="20"/>
          <w:szCs w:val="18"/>
        </w:rPr>
        <w:t>6</w:t>
      </w:r>
    </w:p>
    <w:p w14:paraId="324E5853" w14:textId="77777777" w:rsidR="005D4199" w:rsidRPr="00AA074E" w:rsidRDefault="005D4199" w:rsidP="005D4199">
      <w:pPr>
        <w:spacing w:after="0" w:line="240" w:lineRule="auto"/>
        <w:jc w:val="center"/>
        <w:rPr>
          <w:rFonts w:ascii="Avenir Next LT Pro Demi" w:hAnsi="Avenir Next LT Pro Demi" w:cs="Aptos"/>
          <w:b/>
          <w:color w:val="002060"/>
          <w:sz w:val="32"/>
          <w:szCs w:val="18"/>
        </w:rPr>
      </w:pPr>
    </w:p>
    <w:p w14:paraId="1A5F2CCE" w14:textId="77777777" w:rsidR="00FB7F9C" w:rsidRDefault="00FB7F9C" w:rsidP="00FB7F9C">
      <w:pPr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</w:p>
    <w:p w14:paraId="2EBCCC99" w14:textId="082EAA89" w:rsidR="005D4199" w:rsidRPr="00AA074E" w:rsidRDefault="005D4199" w:rsidP="00FB7F9C">
      <w:pPr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F42DF4">
        <w:rPr>
          <w:rFonts w:ascii="Avenir Next LT Pro Demi" w:hAnsi="Avenir Next LT Pro Demi"/>
          <w:b/>
          <w:caps/>
          <w:color w:val="002060"/>
          <w:sz w:val="30"/>
          <w:szCs w:val="30"/>
        </w:rPr>
        <w:t>BRED Banque Populaire AFFICHE DE BELLES PERFORMANCES</w:t>
      </w:r>
    </w:p>
    <w:p w14:paraId="1C01DFE7" w14:textId="77777777" w:rsidR="005D4199" w:rsidRPr="00AA074E" w:rsidRDefault="005D4199" w:rsidP="005D4199">
      <w:pPr>
        <w:jc w:val="center"/>
        <w:rPr>
          <w:rFonts w:ascii="Avenir Next LT Pro Demi" w:hAnsi="Avenir Next LT Pro Demi"/>
          <w:b/>
          <w:caps/>
          <w:color w:val="665D54"/>
          <w:sz w:val="30"/>
          <w:szCs w:val="30"/>
        </w:rPr>
      </w:pPr>
    </w:p>
    <w:p w14:paraId="0EF774FE" w14:textId="77777777" w:rsidR="005D4199" w:rsidRPr="00AA074E" w:rsidRDefault="005D4199" w:rsidP="005D4199">
      <w:pPr>
        <w:spacing w:after="0" w:line="240" w:lineRule="auto"/>
        <w:rPr>
          <w:rFonts w:ascii="Avenir Next LT Pro Demi" w:hAnsi="Avenir Next LT Pro Demi"/>
          <w:caps/>
          <w:color w:val="665D54"/>
          <w:sz w:val="24"/>
          <w:szCs w:val="24"/>
          <w:highlight w:val="yellow"/>
        </w:rPr>
      </w:pPr>
    </w:p>
    <w:p w14:paraId="464FE01B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highlight w:val="yellow"/>
          <w:lang w:eastAsia="fr-FR"/>
        </w:rPr>
      </w:pPr>
    </w:p>
    <w:p w14:paraId="01554F9E" w14:textId="0308AEB0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u w:val="single"/>
          <w:lang w:eastAsia="fr-FR"/>
        </w:rPr>
      </w:pPr>
      <w:r w:rsidRPr="00AA074E"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u w:val="single"/>
          <w:lang w:eastAsia="fr-FR"/>
        </w:rPr>
        <w:t xml:space="preserve">EN </w:t>
      </w:r>
      <w:r w:rsidRPr="00025137"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u w:val="single"/>
          <w:lang w:eastAsia="fr-FR"/>
        </w:rPr>
        <w:t>2025</w:t>
      </w:r>
      <w:r w:rsidR="00833B43" w:rsidRPr="00025137"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u w:val="single"/>
          <w:lang w:eastAsia="fr-FR"/>
        </w:rPr>
        <w:t xml:space="preserve"> (vision publiée)</w:t>
      </w:r>
      <w:r w:rsidRPr="00AA074E"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lang w:eastAsia="fr-FR"/>
        </w:rPr>
        <w:t> :</w:t>
      </w:r>
    </w:p>
    <w:p w14:paraId="40DC11C7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venir Next LT Pro Demi" w:eastAsia="Times New Roman" w:hAnsi="Avenir Next LT Pro Demi" w:cs="Calibri"/>
          <w:b/>
          <w:bCs/>
          <w:color w:val="665D54"/>
          <w:sz w:val="30"/>
          <w:szCs w:val="30"/>
          <w:highlight w:val="yellow"/>
          <w:lang w:eastAsia="fr-FR"/>
        </w:rPr>
      </w:pPr>
    </w:p>
    <w:p w14:paraId="55A2CDAB" w14:textId="729F272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CROISSANCE DU PRODUIT NET BANCAIRE </w:t>
      </w:r>
      <w:bookmarkStart w:id="0" w:name="_Hlk159491316"/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DE 1</w:t>
      </w:r>
      <w:r w:rsidR="001567B7">
        <w:rPr>
          <w:rFonts w:ascii="Avenir Next LT Pro Demi" w:hAnsi="Avenir Next LT Pro Demi"/>
          <w:b/>
          <w:caps/>
          <w:color w:val="002060"/>
          <w:sz w:val="30"/>
          <w:szCs w:val="30"/>
        </w:rPr>
        <w:t>7,</w:t>
      </w:r>
      <w:r w:rsidR="00541ABD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6 </w:t>
      </w:r>
      <w:r w:rsidR="00541ABD"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%</w:t>
      </w: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 </w:t>
      </w:r>
    </w:p>
    <w:p w14:paraId="61B8FE46" w14:textId="5C79522C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À 1 727 M€</w:t>
      </w:r>
      <w:bookmarkEnd w:id="0"/>
    </w:p>
    <w:p w14:paraId="10FFA584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</w:p>
    <w:p w14:paraId="3A7D6383" w14:textId="155D7D22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RÉSULTAT NET </w:t>
      </w:r>
      <w:bookmarkStart w:id="1" w:name="_Hlk159491334"/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À </w:t>
      </w:r>
      <w:bookmarkStart w:id="2" w:name="_Hlk159508547"/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423 M€, EN PROGRESSION DE 8</w:t>
      </w:r>
      <w:r w:rsidR="001567B7">
        <w:rPr>
          <w:rFonts w:ascii="Avenir Next LT Pro Demi" w:hAnsi="Avenir Next LT Pro Demi"/>
          <w:b/>
          <w:caps/>
          <w:color w:val="002060"/>
          <w:sz w:val="30"/>
          <w:szCs w:val="30"/>
        </w:rPr>
        <w:t>,2</w:t>
      </w: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 % </w:t>
      </w:r>
      <w:bookmarkEnd w:id="2"/>
    </w:p>
    <w:bookmarkEnd w:id="1"/>
    <w:p w14:paraId="775F7905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</w:p>
    <w:p w14:paraId="24B2AC41" w14:textId="48F41B4A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COEFFICIENT D'EXPLOITATION</w:t>
      </w:r>
      <w:r w:rsidR="001567B7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 à moins de 54 %, en ligne avec le plan stratégique</w:t>
      </w: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> </w:t>
      </w:r>
    </w:p>
    <w:p w14:paraId="575BB955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</w:p>
    <w:p w14:paraId="74E1D8E7" w14:textId="1980CDBD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AUGMENTATION DES CAPITAUX PROPRES DE 8 % </w:t>
      </w:r>
    </w:p>
    <w:p w14:paraId="174B0CC2" w14:textId="1D55D595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À 7,7 </w:t>
      </w:r>
      <w:r w:rsidR="00833B43">
        <w:rPr>
          <w:rFonts w:ascii="Avenir Next LT Pro Demi" w:hAnsi="Avenir Next LT Pro Demi"/>
          <w:b/>
          <w:caps/>
          <w:color w:val="002060"/>
          <w:sz w:val="30"/>
          <w:szCs w:val="30"/>
        </w:rPr>
        <w:t>G</w:t>
      </w:r>
      <w:r w:rsidRPr="00AA074E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€ </w:t>
      </w:r>
    </w:p>
    <w:p w14:paraId="35352540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</w:p>
    <w:p w14:paraId="52E2D99F" w14:textId="20FE8961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venir Next LT Pro Demi" w:hAnsi="Avenir Next LT Pro Demi"/>
          <w:b/>
          <w:caps/>
          <w:color w:val="002060"/>
          <w:sz w:val="30"/>
          <w:szCs w:val="30"/>
        </w:rPr>
      </w:pPr>
      <w:r w:rsidRPr="004E285A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RATIO DE SOLVABILITÉ CET1 SOLIDE À </w:t>
      </w:r>
      <w:r w:rsidR="004E285A" w:rsidRPr="00025137">
        <w:rPr>
          <w:rFonts w:ascii="Avenir Next LT Pro Demi" w:hAnsi="Avenir Next LT Pro Demi"/>
          <w:bCs/>
          <w:caps/>
          <w:color w:val="002060"/>
          <w:sz w:val="30"/>
          <w:szCs w:val="30"/>
        </w:rPr>
        <w:t>1</w:t>
      </w:r>
      <w:r w:rsidR="00025137">
        <w:rPr>
          <w:rFonts w:ascii="Avenir Next LT Pro Demi" w:hAnsi="Avenir Next LT Pro Demi"/>
          <w:bCs/>
          <w:caps/>
          <w:color w:val="002060"/>
          <w:sz w:val="30"/>
          <w:szCs w:val="30"/>
        </w:rPr>
        <w:t>8</w:t>
      </w:r>
      <w:r w:rsidR="00025137" w:rsidRPr="004E285A">
        <w:rPr>
          <w:rFonts w:ascii="Avenir Next LT Pro Demi" w:hAnsi="Avenir Next LT Pro Demi"/>
          <w:b/>
          <w:caps/>
          <w:color w:val="002060"/>
          <w:sz w:val="30"/>
          <w:szCs w:val="30"/>
        </w:rPr>
        <w:t xml:space="preserve"> </w:t>
      </w:r>
      <w:r w:rsidRPr="004E285A">
        <w:rPr>
          <w:rFonts w:ascii="Avenir Next LT Pro Demi" w:hAnsi="Avenir Next LT Pro Demi"/>
          <w:b/>
          <w:caps/>
          <w:color w:val="002060"/>
          <w:sz w:val="30"/>
          <w:szCs w:val="30"/>
        </w:rPr>
        <w:t>%</w:t>
      </w:r>
    </w:p>
    <w:p w14:paraId="63C38CA4" w14:textId="77777777" w:rsidR="005D4199" w:rsidRPr="00AA074E" w:rsidRDefault="005D4199" w:rsidP="005D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venir Next LT Pro Demi" w:eastAsia="Times New Roman" w:hAnsi="Avenir Next LT Pro Demi" w:cs="Calibri"/>
          <w:b/>
          <w:bCs/>
          <w:color w:val="665D54"/>
          <w:sz w:val="28"/>
          <w:szCs w:val="28"/>
          <w:highlight w:val="yellow"/>
          <w:lang w:eastAsia="fr-FR"/>
        </w:rPr>
      </w:pPr>
    </w:p>
    <w:p w14:paraId="5FF74E49" w14:textId="77777777" w:rsidR="005D4199" w:rsidRPr="00AA074E" w:rsidRDefault="005D4199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049E9756" w14:textId="77777777" w:rsidR="005D4199" w:rsidRDefault="005D4199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5060A57A" w14:textId="77777777" w:rsidR="007D3E31" w:rsidRDefault="007D3E31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717056E1" w14:textId="77777777" w:rsidR="00730597" w:rsidRDefault="00730597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136FA29C" w14:textId="77777777" w:rsidR="00730597" w:rsidRDefault="00730597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6CA7CB38" w14:textId="77777777" w:rsidR="00ED5AFE" w:rsidRDefault="00ED5AFE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13559D22" w14:textId="77777777" w:rsidR="00ED5AFE" w:rsidRPr="00AA074E" w:rsidRDefault="00ED5AFE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1C75AB83" w14:textId="77777777" w:rsidR="005D4199" w:rsidRPr="00AA074E" w:rsidRDefault="005D4199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12643B71" w14:textId="77777777" w:rsidR="005D4199" w:rsidRPr="00AA074E" w:rsidRDefault="005D4199" w:rsidP="005D4199">
      <w:pPr>
        <w:jc w:val="both"/>
        <w:rPr>
          <w:rFonts w:ascii="Avenir Next LT Pro Demi" w:hAnsi="Avenir Next LT Pro Demi"/>
          <w:i/>
          <w:iCs/>
          <w:color w:val="665D54"/>
          <w:sz w:val="24"/>
          <w:szCs w:val="24"/>
        </w:rPr>
      </w:pPr>
    </w:p>
    <w:p w14:paraId="1DE713C8" w14:textId="193B037E" w:rsidR="005D4199" w:rsidRPr="00416C3F" w:rsidRDefault="003E05EE" w:rsidP="00ED0079">
      <w:pPr>
        <w:spacing w:after="0" w:line="240" w:lineRule="auto"/>
        <w:jc w:val="both"/>
        <w:rPr>
          <w:rFonts w:cs="Calibri"/>
          <w:b/>
          <w:bCs/>
          <w:color w:val="665D54"/>
          <w:sz w:val="24"/>
          <w:szCs w:val="24"/>
        </w:rPr>
      </w:pPr>
      <w:r>
        <w:rPr>
          <w:rFonts w:ascii="Avenir Next LT Pro Demi" w:hAnsi="Avenir Next LT Pro Demi"/>
          <w:noProof/>
        </w:rPr>
        <w:lastRenderedPageBreak/>
        <w:pict w14:anchorId="7D733D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2050" type="#_x0000_t75" alt="Une image contenant Visage humain, personne, sourire, habits&#10;&#10;Description générée automatiquement" style="position:absolute;left:0;text-align:left;margin-left:0;margin-top:1.1pt;width:105pt;height:122.9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wrapcoords="-154 0 -154 21468 21600 21468 21600 0 -154 0">
            <v:imagedata r:id="rId8" o:title="Une image contenant Visage humain, personne, sourire, habits&#10;&#10;Description générée automatiquement"/>
            <w10:wrap type="tight" anchorx="margin"/>
          </v:shape>
        </w:pict>
      </w:r>
      <w:r w:rsidR="005D4199" w:rsidRPr="00416C3F">
        <w:rPr>
          <w:rFonts w:cs="Calibri"/>
          <w:b/>
          <w:bCs/>
          <w:color w:val="665D54"/>
          <w:sz w:val="24"/>
          <w:szCs w:val="24"/>
        </w:rPr>
        <w:t>Jean-Paul Julia, Directeur général de BRED Banque Populaire, déclare :</w:t>
      </w:r>
      <w:r w:rsidR="00730597" w:rsidRPr="00416C3F">
        <w:rPr>
          <w:rFonts w:cs="Calibri"/>
          <w:b/>
          <w:bCs/>
          <w:color w:val="665D54"/>
          <w:sz w:val="24"/>
          <w:szCs w:val="24"/>
        </w:rPr>
        <w:t xml:space="preserve"> « </w:t>
      </w:r>
      <w:r w:rsidR="00730597" w:rsidRPr="00E11058">
        <w:rPr>
          <w:rFonts w:cs="Calibri"/>
          <w:b/>
          <w:bCs/>
          <w:i/>
          <w:iCs/>
          <w:color w:val="665D54"/>
          <w:sz w:val="24"/>
          <w:szCs w:val="24"/>
        </w:rPr>
        <w:t xml:space="preserve">BRED Banque Populaire réalise en 2025 </w:t>
      </w:r>
      <w:r w:rsidR="006D3719">
        <w:rPr>
          <w:rFonts w:cs="Calibri"/>
          <w:b/>
          <w:bCs/>
          <w:i/>
          <w:iCs/>
          <w:color w:val="665D54"/>
          <w:sz w:val="24"/>
          <w:szCs w:val="24"/>
        </w:rPr>
        <w:t>un PNB</w:t>
      </w:r>
      <w:r w:rsidR="001D2FE9">
        <w:rPr>
          <w:rFonts w:cs="Calibri"/>
          <w:b/>
          <w:bCs/>
          <w:i/>
          <w:iCs/>
          <w:color w:val="665D54"/>
          <w:sz w:val="24"/>
          <w:szCs w:val="24"/>
        </w:rPr>
        <w:t xml:space="preserve"> historique</w:t>
      </w:r>
      <w:r w:rsidR="006D3719">
        <w:rPr>
          <w:rFonts w:cs="Calibri"/>
          <w:b/>
          <w:bCs/>
          <w:i/>
          <w:iCs/>
          <w:color w:val="665D54"/>
          <w:sz w:val="24"/>
          <w:szCs w:val="24"/>
        </w:rPr>
        <w:t xml:space="preserve"> en </w:t>
      </w:r>
      <w:r w:rsidR="00252011">
        <w:rPr>
          <w:rFonts w:cs="Calibri"/>
          <w:b/>
          <w:bCs/>
          <w:i/>
          <w:iCs/>
          <w:color w:val="665D54"/>
          <w:sz w:val="24"/>
          <w:szCs w:val="24"/>
        </w:rPr>
        <w:t>hausse de 17,6 %</w:t>
      </w:r>
      <w:r w:rsidR="00730597" w:rsidRPr="00E11058">
        <w:rPr>
          <w:rFonts w:cs="Calibri"/>
          <w:b/>
          <w:bCs/>
          <w:i/>
          <w:iCs/>
          <w:color w:val="665D54"/>
          <w:sz w:val="24"/>
          <w:szCs w:val="24"/>
        </w:rPr>
        <w:t xml:space="preserve">. Ce niveau de performance, soutenu par toutes nos lignes métiers, témoigne de la solidité de notre modèle </w:t>
      </w:r>
      <w:r w:rsidR="00252011" w:rsidRPr="00E11058">
        <w:rPr>
          <w:rFonts w:cs="Calibri"/>
          <w:b/>
          <w:bCs/>
          <w:i/>
          <w:iCs/>
          <w:color w:val="665D54"/>
          <w:sz w:val="24"/>
          <w:szCs w:val="24"/>
        </w:rPr>
        <w:t>coopératif,</w:t>
      </w:r>
      <w:r w:rsidR="006D3719">
        <w:rPr>
          <w:rFonts w:cs="Calibri"/>
          <w:b/>
          <w:bCs/>
          <w:i/>
          <w:iCs/>
          <w:color w:val="665D54"/>
          <w:sz w:val="24"/>
          <w:szCs w:val="24"/>
        </w:rPr>
        <w:t xml:space="preserve"> de la qualité de nos équipes </w:t>
      </w:r>
      <w:r w:rsidR="00730597" w:rsidRPr="00E11058">
        <w:rPr>
          <w:rFonts w:cs="Calibri"/>
          <w:b/>
          <w:bCs/>
          <w:i/>
          <w:iCs/>
          <w:color w:val="665D54"/>
          <w:sz w:val="24"/>
          <w:szCs w:val="24"/>
        </w:rPr>
        <w:t xml:space="preserve">et de notre capacité à </w:t>
      </w:r>
      <w:r w:rsidR="00EA429E" w:rsidRPr="00E11058">
        <w:rPr>
          <w:rFonts w:cs="Calibri"/>
          <w:b/>
          <w:bCs/>
          <w:i/>
          <w:iCs/>
          <w:color w:val="665D54"/>
          <w:sz w:val="24"/>
          <w:szCs w:val="24"/>
        </w:rPr>
        <w:t>accélérer la transformation de notre</w:t>
      </w:r>
      <w:r w:rsidR="00730597" w:rsidRPr="00E11058">
        <w:rPr>
          <w:rFonts w:cs="Calibri"/>
          <w:b/>
          <w:bCs/>
          <w:i/>
          <w:iCs/>
          <w:color w:val="665D54"/>
          <w:sz w:val="24"/>
          <w:szCs w:val="24"/>
        </w:rPr>
        <w:t xml:space="preserve"> banque pour encore mieux servir, de manière responsable et durable, nos clients, nos sociétaires et nos territoires</w:t>
      </w:r>
      <w:r w:rsidR="00730597" w:rsidRPr="00416C3F">
        <w:rPr>
          <w:rFonts w:cs="Calibri"/>
          <w:b/>
          <w:bCs/>
          <w:color w:val="665D54"/>
          <w:sz w:val="24"/>
          <w:szCs w:val="24"/>
        </w:rPr>
        <w:t>. »</w:t>
      </w:r>
    </w:p>
    <w:p w14:paraId="6D694F93" w14:textId="77777777" w:rsidR="005D4199" w:rsidRPr="00AA074E" w:rsidRDefault="005D4199" w:rsidP="005D4199">
      <w:pPr>
        <w:spacing w:after="0" w:line="240" w:lineRule="auto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7F1A4E25" w14:textId="77777777" w:rsidR="00357DC3" w:rsidRDefault="00357DC3" w:rsidP="005D4199">
      <w:pPr>
        <w:spacing w:after="0" w:line="240" w:lineRule="auto"/>
        <w:jc w:val="both"/>
        <w:rPr>
          <w:rFonts w:ascii="Avenir Next LT Pro Demi" w:hAnsi="Avenir Next LT Pro Demi"/>
          <w:color w:val="665D54"/>
          <w:sz w:val="24"/>
          <w:szCs w:val="24"/>
        </w:rPr>
      </w:pPr>
      <w:bookmarkStart w:id="3" w:name="_Hlk222489029"/>
    </w:p>
    <w:p w14:paraId="56176A2A" w14:textId="76F253C6" w:rsidR="00357DC3" w:rsidRDefault="00357DC3" w:rsidP="005D4199">
      <w:pPr>
        <w:spacing w:after="0" w:line="240" w:lineRule="auto"/>
        <w:jc w:val="both"/>
        <w:rPr>
          <w:rFonts w:ascii="Avenir Next LT Pro Demi" w:hAnsi="Avenir Next LT Pro Demi"/>
          <w:color w:val="665D54"/>
          <w:sz w:val="24"/>
          <w:szCs w:val="24"/>
        </w:rPr>
      </w:pPr>
      <w:r>
        <w:rPr>
          <w:rFonts w:ascii="Avenir Next LT Pro Demi" w:hAnsi="Avenir Next LT Pro Demi" w:cs="Aptos"/>
          <w:b/>
          <w:color w:val="002060"/>
          <w:sz w:val="28"/>
          <w:szCs w:val="28"/>
        </w:rPr>
        <w:t>Croissance du PNB</w:t>
      </w:r>
    </w:p>
    <w:p w14:paraId="43C4D21C" w14:textId="77777777" w:rsidR="00357DC3" w:rsidRDefault="00357DC3" w:rsidP="005D4199">
      <w:pPr>
        <w:spacing w:after="0" w:line="240" w:lineRule="auto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42E67DFB" w14:textId="00C2C01B" w:rsidR="005D4199" w:rsidRPr="00416C3F" w:rsidRDefault="005D4199" w:rsidP="005D4199">
      <w:pPr>
        <w:spacing w:after="0" w:line="240" w:lineRule="auto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 xml:space="preserve">BRED Banque Populaire </w:t>
      </w:r>
      <w:bookmarkEnd w:id="3"/>
      <w:r w:rsidRPr="00416C3F">
        <w:rPr>
          <w:rFonts w:cs="Calibri"/>
          <w:color w:val="665D54"/>
          <w:sz w:val="24"/>
          <w:szCs w:val="24"/>
        </w:rPr>
        <w:t>enregistre un produit net bancaire (PNB)</w:t>
      </w:r>
      <w:r w:rsidR="006D3719">
        <w:rPr>
          <w:rFonts w:cs="Calibri"/>
          <w:color w:val="665D54"/>
          <w:sz w:val="24"/>
          <w:szCs w:val="24"/>
        </w:rPr>
        <w:t xml:space="preserve"> historique</w:t>
      </w:r>
      <w:r w:rsidRPr="00416C3F">
        <w:rPr>
          <w:rFonts w:cs="Calibri"/>
          <w:color w:val="665D54"/>
          <w:sz w:val="24"/>
          <w:szCs w:val="24"/>
        </w:rPr>
        <w:t xml:space="preserve"> à 1 727 M€, en hausse de </w:t>
      </w:r>
      <w:r w:rsidR="0049237E" w:rsidRPr="00416C3F">
        <w:rPr>
          <w:rFonts w:cs="Calibri"/>
          <w:color w:val="665D54"/>
          <w:sz w:val="24"/>
          <w:szCs w:val="24"/>
        </w:rPr>
        <w:t>1</w:t>
      </w:r>
      <w:r w:rsidR="0049237E">
        <w:rPr>
          <w:rFonts w:cs="Calibri"/>
          <w:color w:val="665D54"/>
          <w:sz w:val="24"/>
          <w:szCs w:val="24"/>
        </w:rPr>
        <w:t>7,6</w:t>
      </w:r>
      <w:r w:rsidR="0049237E" w:rsidRPr="00416C3F">
        <w:rPr>
          <w:rFonts w:cs="Calibri"/>
          <w:color w:val="665D54"/>
          <w:sz w:val="24"/>
          <w:szCs w:val="24"/>
        </w:rPr>
        <w:t xml:space="preserve"> </w:t>
      </w:r>
      <w:r w:rsidRPr="00416C3F">
        <w:rPr>
          <w:rFonts w:cs="Calibri"/>
          <w:color w:val="665D54"/>
          <w:sz w:val="24"/>
          <w:szCs w:val="24"/>
        </w:rPr>
        <w:t>% par rapport à 2024.</w:t>
      </w:r>
    </w:p>
    <w:p w14:paraId="1F7BEDBD" w14:textId="77777777" w:rsidR="005D4199" w:rsidRPr="00416C3F" w:rsidRDefault="005D4199" w:rsidP="005D4199">
      <w:pPr>
        <w:spacing w:after="0" w:line="240" w:lineRule="auto"/>
        <w:jc w:val="both"/>
        <w:rPr>
          <w:rFonts w:cs="Calibri"/>
          <w:color w:val="665D54"/>
          <w:sz w:val="24"/>
          <w:szCs w:val="24"/>
        </w:rPr>
      </w:pPr>
    </w:p>
    <w:p w14:paraId="2A68658F" w14:textId="684F24B3" w:rsidR="00750C81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En 202</w:t>
      </w:r>
      <w:r w:rsidR="00FB7F9C" w:rsidRPr="00416C3F">
        <w:rPr>
          <w:rFonts w:cs="Calibri"/>
          <w:color w:val="665D54"/>
          <w:sz w:val="24"/>
          <w:szCs w:val="24"/>
        </w:rPr>
        <w:t>5</w:t>
      </w:r>
      <w:r w:rsidRPr="00416C3F">
        <w:rPr>
          <w:rFonts w:cs="Calibri"/>
          <w:color w:val="665D54"/>
          <w:sz w:val="24"/>
          <w:szCs w:val="24"/>
        </w:rPr>
        <w:t xml:space="preserve">, </w:t>
      </w:r>
      <w:r w:rsidR="00730597" w:rsidRPr="00416C3F">
        <w:rPr>
          <w:rFonts w:cs="Calibri"/>
          <w:color w:val="665D54"/>
          <w:sz w:val="24"/>
          <w:szCs w:val="24"/>
        </w:rPr>
        <w:t xml:space="preserve">BRED Banque Populaire </w:t>
      </w:r>
      <w:r w:rsidRPr="00416C3F">
        <w:rPr>
          <w:rFonts w:cs="Calibri"/>
          <w:color w:val="665D54"/>
          <w:sz w:val="24"/>
          <w:szCs w:val="24"/>
        </w:rPr>
        <w:t>a tiré parti de son modèle diversifié en termes de revenus et d’activité</w:t>
      </w:r>
      <w:r w:rsidR="00DD5E73">
        <w:rPr>
          <w:rFonts w:cs="Calibri"/>
          <w:color w:val="665D54"/>
          <w:sz w:val="24"/>
          <w:szCs w:val="24"/>
        </w:rPr>
        <w:t>s</w:t>
      </w:r>
      <w:r w:rsidRPr="00416C3F">
        <w:rPr>
          <w:rFonts w:cs="Calibri"/>
          <w:color w:val="665D54"/>
          <w:sz w:val="24"/>
          <w:szCs w:val="24"/>
        </w:rPr>
        <w:t xml:space="preserve">, dans un contexte marqué par les incertitudes politiques et géopolitiques et une </w:t>
      </w:r>
      <w:r w:rsidR="00FB7F9C" w:rsidRPr="00416C3F">
        <w:rPr>
          <w:rFonts w:cs="Calibri"/>
          <w:color w:val="665D54"/>
          <w:sz w:val="24"/>
          <w:szCs w:val="24"/>
        </w:rPr>
        <w:t>sortie de la phase inflationniste</w:t>
      </w:r>
      <w:r w:rsidRPr="00416C3F">
        <w:rPr>
          <w:rFonts w:cs="Calibri"/>
          <w:color w:val="665D54"/>
          <w:sz w:val="24"/>
          <w:szCs w:val="24"/>
        </w:rPr>
        <w:t>.</w:t>
      </w:r>
      <w:r w:rsidR="00750C81" w:rsidRPr="00416C3F">
        <w:rPr>
          <w:rFonts w:cs="Calibri"/>
          <w:color w:val="665D54"/>
          <w:sz w:val="24"/>
          <w:szCs w:val="24"/>
        </w:rPr>
        <w:t xml:space="preserve"> Forte de ses 1,7 million de clients</w:t>
      </w:r>
      <w:r w:rsidR="00040135" w:rsidRPr="00416C3F">
        <w:rPr>
          <w:rFonts w:cs="Calibri"/>
          <w:color w:val="665D54"/>
          <w:sz w:val="24"/>
          <w:szCs w:val="24"/>
        </w:rPr>
        <w:t xml:space="preserve"> </w:t>
      </w:r>
      <w:r w:rsidR="00750C81" w:rsidRPr="00416C3F">
        <w:rPr>
          <w:rFonts w:cs="Calibri"/>
          <w:color w:val="665D54"/>
          <w:sz w:val="24"/>
          <w:szCs w:val="24"/>
        </w:rPr>
        <w:t>à travers le monde</w:t>
      </w:r>
      <w:r w:rsidR="00730597" w:rsidRPr="00416C3F">
        <w:rPr>
          <w:rFonts w:cs="Calibri"/>
          <w:color w:val="665D54"/>
          <w:sz w:val="24"/>
          <w:szCs w:val="24"/>
        </w:rPr>
        <w:t>,</w:t>
      </w:r>
      <w:r w:rsidR="00750C81" w:rsidRPr="00416C3F">
        <w:rPr>
          <w:rFonts w:cs="Calibri"/>
          <w:color w:val="665D54"/>
          <w:sz w:val="24"/>
          <w:szCs w:val="24"/>
        </w:rPr>
        <w:t xml:space="preserve"> elle </w:t>
      </w:r>
      <w:r w:rsidR="00730597" w:rsidRPr="00416C3F">
        <w:rPr>
          <w:rFonts w:cs="Calibri"/>
          <w:color w:val="665D54"/>
          <w:sz w:val="24"/>
          <w:szCs w:val="24"/>
        </w:rPr>
        <w:t>poursuit le maintien et le développement de</w:t>
      </w:r>
      <w:r w:rsidR="00750C81" w:rsidRPr="00416C3F">
        <w:rPr>
          <w:rFonts w:cs="Calibri"/>
          <w:color w:val="665D54"/>
          <w:sz w:val="24"/>
          <w:szCs w:val="24"/>
        </w:rPr>
        <w:t xml:space="preserve"> son réseau d’agences</w:t>
      </w:r>
      <w:r w:rsidR="00730597" w:rsidRPr="00416C3F">
        <w:rPr>
          <w:rFonts w:cs="Calibri"/>
          <w:color w:val="665D54"/>
          <w:sz w:val="24"/>
          <w:szCs w:val="24"/>
        </w:rPr>
        <w:t xml:space="preserve">, au plus près des besoins de </w:t>
      </w:r>
      <w:r w:rsidR="00750C81" w:rsidRPr="00416C3F">
        <w:rPr>
          <w:rFonts w:cs="Calibri"/>
          <w:color w:val="665D54"/>
          <w:sz w:val="24"/>
          <w:szCs w:val="24"/>
        </w:rPr>
        <w:t>ses clients</w:t>
      </w:r>
      <w:r w:rsidR="00040135" w:rsidRPr="00416C3F">
        <w:rPr>
          <w:rFonts w:cs="Calibri"/>
          <w:color w:val="665D54"/>
          <w:sz w:val="24"/>
          <w:szCs w:val="24"/>
        </w:rPr>
        <w:t>. Elle compte plus de 23</w:t>
      </w:r>
      <w:r w:rsidR="006D3719">
        <w:rPr>
          <w:rFonts w:cs="Calibri"/>
          <w:color w:val="665D54"/>
          <w:sz w:val="24"/>
          <w:szCs w:val="24"/>
        </w:rPr>
        <w:t>0</w:t>
      </w:r>
      <w:r w:rsidR="00040135" w:rsidRPr="00416C3F">
        <w:rPr>
          <w:rFonts w:cs="Calibri"/>
          <w:color w:val="665D54"/>
          <w:sz w:val="24"/>
          <w:szCs w:val="24"/>
        </w:rPr>
        <w:t xml:space="preserve"> 000 sociétaires qui soutiennent son modèle coopératif.</w:t>
      </w:r>
    </w:p>
    <w:p w14:paraId="194B9194" w14:textId="77777777" w:rsidR="005D4199" w:rsidRPr="00AA074E" w:rsidRDefault="005D4199" w:rsidP="005D4199">
      <w:pPr>
        <w:spacing w:after="0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031CA0D4" w14:textId="77777777" w:rsidR="005D4199" w:rsidRPr="00AA074E" w:rsidRDefault="005D4199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7C52921E" w14:textId="77777777" w:rsidR="005D4199" w:rsidRPr="00AA074E" w:rsidRDefault="005D4199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32"/>
        </w:rPr>
      </w:pPr>
      <w:r w:rsidRPr="00AA074E">
        <w:rPr>
          <w:rFonts w:ascii="Avenir Next LT Pro Demi" w:hAnsi="Avenir Next LT Pro Demi"/>
          <w:b/>
          <w:color w:val="665D54"/>
          <w:sz w:val="32"/>
        </w:rPr>
        <w:t>Répartition du PNB par pôle d’activité</w:t>
      </w:r>
    </w:p>
    <w:p w14:paraId="0BE43C1B" w14:textId="77777777" w:rsidR="005D4199" w:rsidRPr="00AA074E" w:rsidRDefault="005D4199" w:rsidP="005D4199">
      <w:pPr>
        <w:spacing w:after="0" w:line="240" w:lineRule="auto"/>
        <w:jc w:val="center"/>
        <w:rPr>
          <w:rFonts w:ascii="Avenir Next LT Pro Demi" w:hAnsi="Avenir Next LT Pro Demi"/>
          <w:noProof/>
          <w:color w:val="747474"/>
          <w:sz w:val="20"/>
          <w:szCs w:val="32"/>
          <w:highlight w:val="yellow"/>
          <w:lang w:eastAsia="fr-FR"/>
        </w:rPr>
      </w:pPr>
    </w:p>
    <w:p w14:paraId="4DE27D1F" w14:textId="5481642C" w:rsidR="005D4199" w:rsidRPr="00AA074E" w:rsidRDefault="003E05EE" w:rsidP="005D4199">
      <w:pPr>
        <w:spacing w:after="0" w:line="240" w:lineRule="auto"/>
        <w:rPr>
          <w:rFonts w:ascii="Avenir Next LT Pro Demi" w:hAnsi="Avenir Next LT Pro Demi"/>
          <w:noProof/>
        </w:rPr>
      </w:pPr>
      <w:r>
        <w:rPr>
          <w:rFonts w:ascii="Avenir Next LT Pro Demi" w:hAnsi="Avenir Next LT Pro Demi"/>
          <w:noProof/>
        </w:rPr>
        <w:pict w14:anchorId="1DBC1BC0">
          <v:shape id="_x0000_i1025" type="#_x0000_t75" style="width:481.5pt;height:284.25pt;visibility:visible;mso-wrap-style:square">
            <v:imagedata r:id="rId9" o:title=""/>
          </v:shape>
        </w:pict>
      </w:r>
    </w:p>
    <w:p w14:paraId="04E6F9A3" w14:textId="1CA3B433" w:rsidR="005D4199" w:rsidRPr="00040135" w:rsidRDefault="0072480F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/>
          <w:i/>
          <w:iCs/>
          <w:color w:val="665D54"/>
          <w:sz w:val="16"/>
          <w:szCs w:val="16"/>
        </w:rPr>
      </w:pPr>
      <w:r>
        <w:rPr>
          <w:rFonts w:ascii="Avenir Next LT Pro Demi" w:hAnsi="Avenir Next LT Pro Demi"/>
          <w:i/>
          <w:iCs/>
          <w:color w:val="665D54"/>
          <w:sz w:val="16"/>
          <w:szCs w:val="16"/>
        </w:rPr>
        <w:t>Vision</w:t>
      </w:r>
      <w:r w:rsidR="00040135" w:rsidRPr="00040135">
        <w:rPr>
          <w:rFonts w:ascii="Avenir Next LT Pro Demi" w:hAnsi="Avenir Next LT Pro Demi"/>
          <w:i/>
          <w:iCs/>
          <w:color w:val="665D54"/>
          <w:sz w:val="16"/>
          <w:szCs w:val="16"/>
        </w:rPr>
        <w:t xml:space="preserve"> hors exceptionnels</w:t>
      </w:r>
      <w:r>
        <w:rPr>
          <w:rFonts w:ascii="Avenir Next LT Pro Demi" w:hAnsi="Avenir Next LT Pro Demi"/>
          <w:i/>
          <w:iCs/>
          <w:color w:val="665D54"/>
          <w:sz w:val="16"/>
          <w:szCs w:val="16"/>
        </w:rPr>
        <w:t xml:space="preserve"> et 2024 proforma</w:t>
      </w:r>
    </w:p>
    <w:p w14:paraId="1D16514D" w14:textId="77777777" w:rsidR="00541ABD" w:rsidRDefault="00541ABD" w:rsidP="005D4199">
      <w:pPr>
        <w:spacing w:after="0"/>
        <w:jc w:val="both"/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</w:pPr>
    </w:p>
    <w:p w14:paraId="4F6E9FDB" w14:textId="77777777" w:rsidR="00541ABD" w:rsidRDefault="00541ABD" w:rsidP="005D4199">
      <w:pPr>
        <w:spacing w:after="0"/>
        <w:jc w:val="both"/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</w:pPr>
    </w:p>
    <w:p w14:paraId="49C44960" w14:textId="77777777" w:rsidR="003E05EE" w:rsidRDefault="003E05EE" w:rsidP="005D4199">
      <w:pPr>
        <w:spacing w:after="0"/>
        <w:jc w:val="both"/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</w:pPr>
    </w:p>
    <w:p w14:paraId="02B91530" w14:textId="4286D5C9" w:rsidR="005D4199" w:rsidRPr="00AA074E" w:rsidRDefault="005D4199" w:rsidP="005D4199">
      <w:pPr>
        <w:spacing w:after="0"/>
        <w:jc w:val="both"/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</w:pPr>
      <w:r w:rsidRPr="00AA074E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lastRenderedPageBreak/>
        <w:t xml:space="preserve">Banque </w:t>
      </w:r>
      <w:r w:rsidR="004E285A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 xml:space="preserve">de </w:t>
      </w:r>
      <w:r w:rsidR="00730597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>p</w:t>
      </w:r>
      <w:r w:rsidR="004E285A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 xml:space="preserve">roximité et </w:t>
      </w:r>
      <w:r w:rsidR="00730597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>a</w:t>
      </w:r>
      <w:r w:rsidR="004E285A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>ssurance</w:t>
      </w:r>
      <w:r w:rsidR="00025137">
        <w:rPr>
          <w:rFonts w:ascii="Avenir Next LT Pro Demi" w:hAnsi="Avenir Next LT Pro Demi"/>
          <w:b/>
          <w:bCs/>
          <w:color w:val="665D54"/>
          <w:sz w:val="24"/>
          <w:szCs w:val="24"/>
          <w:u w:val="thick"/>
        </w:rPr>
        <w:t>s</w:t>
      </w:r>
    </w:p>
    <w:p w14:paraId="55D54D8C" w14:textId="67EFE654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 xml:space="preserve">La Banque </w:t>
      </w:r>
      <w:r w:rsidR="00D21B9C" w:rsidRPr="00416C3F">
        <w:rPr>
          <w:rFonts w:cs="Calibri"/>
          <w:color w:val="665D54"/>
          <w:sz w:val="24"/>
          <w:szCs w:val="24"/>
        </w:rPr>
        <w:t xml:space="preserve">de </w:t>
      </w:r>
      <w:r w:rsidR="00730597" w:rsidRPr="00416C3F">
        <w:rPr>
          <w:rFonts w:cs="Calibri"/>
          <w:color w:val="665D54"/>
          <w:sz w:val="24"/>
          <w:szCs w:val="24"/>
        </w:rPr>
        <w:t>p</w:t>
      </w:r>
      <w:r w:rsidR="00D21B9C" w:rsidRPr="00416C3F">
        <w:rPr>
          <w:rFonts w:cs="Calibri"/>
          <w:color w:val="665D54"/>
          <w:sz w:val="24"/>
          <w:szCs w:val="24"/>
        </w:rPr>
        <w:t xml:space="preserve">roximité et </w:t>
      </w:r>
      <w:r w:rsidR="00730597" w:rsidRPr="00416C3F">
        <w:rPr>
          <w:rFonts w:cs="Calibri"/>
          <w:color w:val="665D54"/>
          <w:sz w:val="24"/>
          <w:szCs w:val="24"/>
        </w:rPr>
        <w:t>a</w:t>
      </w:r>
      <w:r w:rsidR="00D21B9C" w:rsidRPr="00416C3F">
        <w:rPr>
          <w:rFonts w:cs="Calibri"/>
          <w:color w:val="665D54"/>
          <w:sz w:val="24"/>
          <w:szCs w:val="24"/>
        </w:rPr>
        <w:t>ssurance</w:t>
      </w:r>
      <w:r w:rsidR="00025137">
        <w:rPr>
          <w:rFonts w:cs="Calibri"/>
          <w:color w:val="665D54"/>
          <w:sz w:val="24"/>
          <w:szCs w:val="24"/>
        </w:rPr>
        <w:t>s</w:t>
      </w:r>
      <w:r w:rsidR="00D21B9C" w:rsidRPr="00416C3F">
        <w:rPr>
          <w:rFonts w:cs="Calibri"/>
          <w:color w:val="665D54"/>
          <w:sz w:val="24"/>
          <w:szCs w:val="24"/>
        </w:rPr>
        <w:t xml:space="preserve"> enregistre une hausse de son PNB de </w:t>
      </w:r>
      <w:r w:rsidR="006D3719">
        <w:rPr>
          <w:rFonts w:cs="Calibri"/>
          <w:color w:val="665D54"/>
          <w:sz w:val="24"/>
          <w:szCs w:val="24"/>
        </w:rPr>
        <w:t xml:space="preserve">plus de </w:t>
      </w:r>
      <w:r w:rsidR="00D21B9C" w:rsidRPr="00416C3F">
        <w:rPr>
          <w:rFonts w:cs="Calibri"/>
          <w:color w:val="665D54"/>
          <w:sz w:val="24"/>
          <w:szCs w:val="24"/>
        </w:rPr>
        <w:t>2</w:t>
      </w:r>
      <w:r w:rsidR="006D3719">
        <w:rPr>
          <w:rFonts w:cs="Calibri"/>
          <w:color w:val="665D54"/>
          <w:sz w:val="24"/>
          <w:szCs w:val="24"/>
        </w:rPr>
        <w:t>0 %</w:t>
      </w:r>
      <w:r w:rsidR="00D21B9C" w:rsidRPr="00416C3F">
        <w:rPr>
          <w:rFonts w:cs="Calibri"/>
          <w:color w:val="665D54"/>
          <w:sz w:val="24"/>
          <w:szCs w:val="24"/>
        </w:rPr>
        <w:t xml:space="preserve">. La marge d’intérêt a connu une remontée sensible sur l’année 2025, portée par un effet taux favorable et une augmentation des volumes. </w:t>
      </w:r>
      <w:r w:rsidR="00833B43" w:rsidRPr="00416C3F">
        <w:rPr>
          <w:rFonts w:cs="Calibri"/>
          <w:color w:val="665D54"/>
          <w:sz w:val="24"/>
          <w:szCs w:val="24"/>
        </w:rPr>
        <w:t>Les encours de crédits ont cru de 54 % dans notre réseau métropolitain et de 25 % au sein de notre réseau ultra marin, traduisant la volonté d’accompagner la concrétisation des projets de nos clients.</w:t>
      </w:r>
      <w:r w:rsidR="00DD5E73">
        <w:rPr>
          <w:rFonts w:cs="Calibri"/>
          <w:color w:val="665D54"/>
          <w:sz w:val="24"/>
          <w:szCs w:val="24"/>
        </w:rPr>
        <w:t xml:space="preserve"> </w:t>
      </w:r>
      <w:r w:rsidR="001C4DB7" w:rsidRPr="00416C3F">
        <w:rPr>
          <w:rFonts w:cs="Calibri"/>
          <w:color w:val="665D54"/>
          <w:sz w:val="24"/>
          <w:szCs w:val="24"/>
        </w:rPr>
        <w:t>Ces résultats en hausse sont portés par toutes les lignes de fronts, en Métropole comme en Outre-Mer.</w:t>
      </w:r>
    </w:p>
    <w:p w14:paraId="3538E943" w14:textId="77777777" w:rsidR="00ED5AFE" w:rsidRDefault="00ED5AFE" w:rsidP="006D3719">
      <w:pPr>
        <w:spacing w:after="0"/>
        <w:jc w:val="both"/>
        <w:rPr>
          <w:rFonts w:ascii="Avenir Next LT Pro Demi" w:hAnsi="Avenir Next LT Pro Demi"/>
          <w:b/>
          <w:color w:val="665D54"/>
          <w:sz w:val="24"/>
          <w:szCs w:val="24"/>
          <w:u w:val="thick"/>
        </w:rPr>
      </w:pPr>
    </w:p>
    <w:p w14:paraId="7ADC314C" w14:textId="7A915A0F" w:rsidR="006D3719" w:rsidRPr="00AA074E" w:rsidRDefault="006D3719" w:rsidP="006D3719">
      <w:pPr>
        <w:spacing w:after="0"/>
        <w:jc w:val="both"/>
        <w:rPr>
          <w:rFonts w:ascii="Avenir Next LT Pro Demi" w:hAnsi="Avenir Next LT Pro Demi"/>
          <w:b/>
          <w:color w:val="665D54"/>
          <w:sz w:val="24"/>
          <w:szCs w:val="24"/>
          <w:u w:val="thick"/>
        </w:rPr>
      </w:pP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 xml:space="preserve">Banque de </w:t>
      </w:r>
      <w:r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f</w:t>
      </w: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inancement et d’</w:t>
      </w:r>
      <w:r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i</w:t>
      </w: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nvestissement</w:t>
      </w:r>
    </w:p>
    <w:p w14:paraId="6C5C1802" w14:textId="1618AD94" w:rsidR="006D3719" w:rsidRPr="00416C3F" w:rsidRDefault="006D3719" w:rsidP="006D371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La Banque de financement et d'investissement (BFI) présente un PNB en hausse en 2025</w:t>
      </w:r>
      <w:r>
        <w:rPr>
          <w:rFonts w:cs="Calibri"/>
          <w:color w:val="665D54"/>
          <w:sz w:val="24"/>
          <w:szCs w:val="24"/>
        </w:rPr>
        <w:t xml:space="preserve"> de plus de 25 %, qui </w:t>
      </w:r>
      <w:r w:rsidRPr="00416C3F">
        <w:rPr>
          <w:rFonts w:cs="Calibri"/>
          <w:color w:val="665D54"/>
          <w:sz w:val="24"/>
          <w:szCs w:val="24"/>
        </w:rPr>
        <w:t>illustr</w:t>
      </w:r>
      <w:r>
        <w:rPr>
          <w:rFonts w:cs="Calibri"/>
          <w:color w:val="665D54"/>
          <w:sz w:val="24"/>
          <w:szCs w:val="24"/>
        </w:rPr>
        <w:t>e</w:t>
      </w:r>
      <w:r w:rsidRPr="00416C3F">
        <w:rPr>
          <w:rFonts w:cs="Calibri"/>
          <w:color w:val="665D54"/>
          <w:sz w:val="24"/>
          <w:szCs w:val="24"/>
        </w:rPr>
        <w:t xml:space="preserve"> </w:t>
      </w:r>
      <w:r w:rsidRPr="00025137">
        <w:rPr>
          <w:rFonts w:cs="Calibri"/>
          <w:color w:val="665D54"/>
          <w:sz w:val="24"/>
          <w:szCs w:val="24"/>
        </w:rPr>
        <w:t>la montée en gamme d</w:t>
      </w:r>
      <w:r>
        <w:rPr>
          <w:rFonts w:cs="Calibri"/>
          <w:color w:val="665D54"/>
          <w:sz w:val="24"/>
          <w:szCs w:val="24"/>
        </w:rPr>
        <w:t xml:space="preserve">es </w:t>
      </w:r>
      <w:r w:rsidR="00252011">
        <w:rPr>
          <w:rFonts w:cs="Calibri"/>
          <w:color w:val="665D54"/>
          <w:sz w:val="24"/>
          <w:szCs w:val="24"/>
        </w:rPr>
        <w:t xml:space="preserve">équipes </w:t>
      </w:r>
      <w:r w:rsidR="00252011" w:rsidRPr="00025137">
        <w:rPr>
          <w:rFonts w:cs="Calibri"/>
          <w:color w:val="665D54"/>
          <w:sz w:val="24"/>
          <w:szCs w:val="24"/>
        </w:rPr>
        <w:t>qui</w:t>
      </w:r>
      <w:r w:rsidRPr="00025137">
        <w:rPr>
          <w:rFonts w:cs="Calibri"/>
          <w:color w:val="665D54"/>
          <w:sz w:val="24"/>
          <w:szCs w:val="24"/>
        </w:rPr>
        <w:t xml:space="preserve"> accompagne</w:t>
      </w:r>
      <w:r>
        <w:rPr>
          <w:rFonts w:cs="Calibri"/>
          <w:color w:val="665D54"/>
          <w:sz w:val="24"/>
          <w:szCs w:val="24"/>
        </w:rPr>
        <w:t>nt</w:t>
      </w:r>
      <w:r w:rsidRPr="00025137">
        <w:rPr>
          <w:rFonts w:cs="Calibri"/>
          <w:color w:val="665D54"/>
          <w:sz w:val="24"/>
          <w:szCs w:val="24"/>
        </w:rPr>
        <w:t xml:space="preserve"> de plus en plus de clients dans des opérations structurantes.</w:t>
      </w:r>
    </w:p>
    <w:p w14:paraId="2411F80B" w14:textId="4B4F0C07" w:rsidR="006D3719" w:rsidRPr="00416C3F" w:rsidRDefault="006D3719" w:rsidP="006D371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 xml:space="preserve">La BFI </w:t>
      </w:r>
      <w:r w:rsidR="00ED5AFE">
        <w:rPr>
          <w:rFonts w:cs="Calibri"/>
          <w:color w:val="665D54"/>
          <w:sz w:val="24"/>
          <w:szCs w:val="24"/>
        </w:rPr>
        <w:t xml:space="preserve">est, pour </w:t>
      </w:r>
      <w:r w:rsidR="00ED5AFE" w:rsidRPr="00416C3F">
        <w:rPr>
          <w:rFonts w:cs="Calibri"/>
          <w:color w:val="665D54"/>
          <w:sz w:val="24"/>
          <w:szCs w:val="24"/>
        </w:rPr>
        <w:t>la quatrième année consécutive</w:t>
      </w:r>
      <w:r w:rsidR="00ED5AFE">
        <w:rPr>
          <w:rFonts w:cs="Calibri"/>
          <w:color w:val="665D54"/>
          <w:sz w:val="24"/>
          <w:szCs w:val="24"/>
        </w:rPr>
        <w:t>,</w:t>
      </w:r>
      <w:r w:rsidR="00ED5AFE" w:rsidRPr="00416C3F">
        <w:rPr>
          <w:rFonts w:cs="Calibri"/>
          <w:color w:val="665D54"/>
          <w:sz w:val="24"/>
          <w:szCs w:val="24"/>
        </w:rPr>
        <w:t xml:space="preserve"> </w:t>
      </w:r>
      <w:r w:rsidRPr="00416C3F">
        <w:rPr>
          <w:rFonts w:cs="Calibri"/>
          <w:color w:val="665D54"/>
          <w:sz w:val="24"/>
          <w:szCs w:val="24"/>
        </w:rPr>
        <w:t>le premier acteur en Europe pour le placement de la dette court terme des entreprises</w:t>
      </w:r>
      <w:r w:rsidR="00ED5AFE">
        <w:rPr>
          <w:rFonts w:cs="Calibri"/>
          <w:color w:val="665D54"/>
          <w:sz w:val="24"/>
          <w:szCs w:val="24"/>
        </w:rPr>
        <w:t>.</w:t>
      </w:r>
    </w:p>
    <w:p w14:paraId="730CD078" w14:textId="77777777" w:rsidR="005D4199" w:rsidRPr="00416C3F" w:rsidRDefault="005D4199" w:rsidP="005D4199">
      <w:pPr>
        <w:spacing w:after="0"/>
        <w:jc w:val="both"/>
        <w:rPr>
          <w:rFonts w:cs="Calibri"/>
          <w:bCs/>
          <w:color w:val="665D54"/>
          <w:sz w:val="24"/>
          <w:szCs w:val="24"/>
        </w:rPr>
      </w:pPr>
    </w:p>
    <w:p w14:paraId="4DA678EA" w14:textId="208128EA" w:rsidR="005D4199" w:rsidRPr="00AA074E" w:rsidRDefault="005D4199" w:rsidP="005D4199">
      <w:pPr>
        <w:spacing w:after="0"/>
        <w:jc w:val="both"/>
        <w:rPr>
          <w:rFonts w:ascii="Avenir Next LT Pro Demi" w:hAnsi="Avenir Next LT Pro Demi"/>
          <w:color w:val="665D54"/>
          <w:u w:val="thick"/>
        </w:rPr>
      </w:pP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Banque à l’</w:t>
      </w:r>
      <w:r w:rsidR="009C2D3F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i</w:t>
      </w: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 xml:space="preserve">nternational </w:t>
      </w:r>
    </w:p>
    <w:p w14:paraId="7EB48F77" w14:textId="60D0566E" w:rsidR="005D4199" w:rsidRPr="00416C3F" w:rsidRDefault="00AF4006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 pôle Banque à l’</w:t>
      </w:r>
      <w:r w:rsidR="009C2D3F" w:rsidRPr="00416C3F">
        <w:rPr>
          <w:rFonts w:cs="Calibri"/>
          <w:color w:val="665D54"/>
          <w:sz w:val="24"/>
          <w:szCs w:val="24"/>
        </w:rPr>
        <w:t>i</w:t>
      </w:r>
      <w:r w:rsidRPr="00416C3F">
        <w:rPr>
          <w:rFonts w:cs="Calibri"/>
          <w:color w:val="665D54"/>
          <w:sz w:val="24"/>
          <w:szCs w:val="24"/>
        </w:rPr>
        <w:t xml:space="preserve">nternational et </w:t>
      </w:r>
      <w:r w:rsidR="009C2D3F" w:rsidRPr="00416C3F">
        <w:rPr>
          <w:rFonts w:cs="Calibri"/>
          <w:color w:val="665D54"/>
          <w:sz w:val="24"/>
          <w:szCs w:val="24"/>
        </w:rPr>
        <w:t>c</w:t>
      </w:r>
      <w:r w:rsidRPr="00416C3F">
        <w:rPr>
          <w:rFonts w:cs="Calibri"/>
          <w:color w:val="665D54"/>
          <w:sz w:val="24"/>
          <w:szCs w:val="24"/>
        </w:rPr>
        <w:t>ollectivités d’Outre-</w:t>
      </w:r>
      <w:r w:rsidR="009C2D3F" w:rsidRPr="00416C3F">
        <w:rPr>
          <w:rFonts w:cs="Calibri"/>
          <w:color w:val="665D54"/>
          <w:sz w:val="24"/>
          <w:szCs w:val="24"/>
        </w:rPr>
        <w:t>m</w:t>
      </w:r>
      <w:r w:rsidRPr="00416C3F">
        <w:rPr>
          <w:rFonts w:cs="Calibri"/>
          <w:color w:val="665D54"/>
          <w:sz w:val="24"/>
          <w:szCs w:val="24"/>
        </w:rPr>
        <w:t>er affiche une progression de son PNB de 6,6 % à change constant</w:t>
      </w:r>
      <w:r w:rsidR="0072480F" w:rsidRPr="00416C3F">
        <w:rPr>
          <w:rFonts w:cs="Calibri"/>
          <w:color w:val="665D54"/>
          <w:sz w:val="24"/>
          <w:szCs w:val="24"/>
        </w:rPr>
        <w:t xml:space="preserve"> en vision proforma et hors exceptionnel</w:t>
      </w:r>
      <w:r w:rsidRPr="00416C3F">
        <w:rPr>
          <w:rFonts w:cs="Calibri"/>
          <w:color w:val="665D54"/>
          <w:sz w:val="24"/>
          <w:szCs w:val="24"/>
        </w:rPr>
        <w:t>.</w:t>
      </w:r>
      <w:r w:rsidR="005D4199" w:rsidRPr="00416C3F">
        <w:rPr>
          <w:rFonts w:cs="Calibri"/>
          <w:color w:val="665D54"/>
          <w:sz w:val="24"/>
          <w:szCs w:val="24"/>
        </w:rPr>
        <w:t xml:space="preserve"> </w:t>
      </w:r>
      <w:r w:rsidR="001C4DB7" w:rsidRPr="00416C3F">
        <w:rPr>
          <w:rFonts w:cs="Calibri"/>
          <w:color w:val="665D54"/>
          <w:sz w:val="24"/>
          <w:szCs w:val="24"/>
        </w:rPr>
        <w:t xml:space="preserve">Pour son premier exercice, BRED </w:t>
      </w:r>
      <w:proofErr w:type="spellStart"/>
      <w:r w:rsidR="001C4DB7" w:rsidRPr="00416C3F">
        <w:rPr>
          <w:rFonts w:cs="Calibri"/>
          <w:color w:val="665D54"/>
          <w:sz w:val="24"/>
          <w:szCs w:val="24"/>
        </w:rPr>
        <w:t>Madagasikara</w:t>
      </w:r>
      <w:proofErr w:type="spellEnd"/>
      <w:r w:rsidR="001C4DB7" w:rsidRPr="00416C3F">
        <w:rPr>
          <w:rFonts w:cs="Calibri"/>
          <w:color w:val="665D54"/>
          <w:sz w:val="24"/>
          <w:szCs w:val="24"/>
        </w:rPr>
        <w:t xml:space="preserve"> Banque Populaire a enregistré un PNB consolidé de 99 M€</w:t>
      </w:r>
      <w:r w:rsidR="00ED5AFE">
        <w:rPr>
          <w:rFonts w:cs="Calibri"/>
          <w:color w:val="665D54"/>
          <w:sz w:val="24"/>
          <w:szCs w:val="24"/>
        </w:rPr>
        <w:t xml:space="preserve"> en légère croissance</w:t>
      </w:r>
      <w:r w:rsidR="001C4DB7" w:rsidRPr="00416C3F">
        <w:rPr>
          <w:rFonts w:cs="Calibri"/>
          <w:color w:val="665D54"/>
          <w:sz w:val="24"/>
          <w:szCs w:val="24"/>
        </w:rPr>
        <w:t>.</w:t>
      </w:r>
      <w:r w:rsidR="005D4199" w:rsidRPr="00416C3F">
        <w:rPr>
          <w:rFonts w:cs="Calibri"/>
          <w:color w:val="665D54"/>
          <w:sz w:val="24"/>
          <w:szCs w:val="24"/>
        </w:rPr>
        <w:t xml:space="preserve"> </w:t>
      </w:r>
    </w:p>
    <w:p w14:paraId="6FF0CD60" w14:textId="77777777" w:rsidR="005D4199" w:rsidRPr="00AA074E" w:rsidRDefault="005D4199" w:rsidP="005D4199">
      <w:pPr>
        <w:spacing w:after="0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72907792" w14:textId="515957E2" w:rsidR="005D4199" w:rsidRPr="00AA074E" w:rsidRDefault="005D4199" w:rsidP="005D4199">
      <w:pPr>
        <w:spacing w:after="0"/>
        <w:jc w:val="both"/>
        <w:rPr>
          <w:rFonts w:ascii="Avenir Next LT Pro Demi" w:hAnsi="Avenir Next LT Pro Demi"/>
          <w:b/>
          <w:color w:val="665D54"/>
          <w:sz w:val="24"/>
          <w:szCs w:val="24"/>
          <w:u w:val="thick"/>
        </w:rPr>
      </w:pP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 xml:space="preserve">Gestion </w:t>
      </w:r>
      <w:r w:rsidR="00416C3F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c</w:t>
      </w: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 xml:space="preserve">onsolidée des </w:t>
      </w:r>
      <w:r w:rsidR="00416C3F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i</w:t>
      </w:r>
      <w:r w:rsidRPr="00AA074E">
        <w:rPr>
          <w:rFonts w:ascii="Avenir Next LT Pro Demi" w:hAnsi="Avenir Next LT Pro Demi"/>
          <w:b/>
          <w:color w:val="665D54"/>
          <w:sz w:val="24"/>
          <w:szCs w:val="24"/>
          <w:u w:val="thick"/>
        </w:rPr>
        <w:t>nvestissements</w:t>
      </w:r>
    </w:p>
    <w:p w14:paraId="127501BE" w14:textId="410A17A1" w:rsidR="00833B43" w:rsidRPr="00416C3F" w:rsidRDefault="00833B43" w:rsidP="00833B43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 xml:space="preserve">Ce pôle a pâti d’une moindre contribution du fonds de roulement, liée à des taux plus faibles que l’an passé, d’une baisse des performances sur le </w:t>
      </w:r>
      <w:proofErr w:type="spellStart"/>
      <w:r w:rsidRPr="00416C3F">
        <w:rPr>
          <w:rFonts w:cs="Calibri"/>
          <w:color w:val="665D54"/>
          <w:sz w:val="24"/>
          <w:szCs w:val="24"/>
        </w:rPr>
        <w:t>private</w:t>
      </w:r>
      <w:proofErr w:type="spellEnd"/>
      <w:r w:rsidRPr="00416C3F">
        <w:rPr>
          <w:rFonts w:cs="Calibri"/>
          <w:color w:val="665D54"/>
          <w:sz w:val="24"/>
          <w:szCs w:val="24"/>
        </w:rPr>
        <w:t xml:space="preserve"> </w:t>
      </w:r>
      <w:proofErr w:type="spellStart"/>
      <w:r w:rsidRPr="00416C3F">
        <w:rPr>
          <w:rFonts w:cs="Calibri"/>
          <w:color w:val="665D54"/>
          <w:sz w:val="24"/>
          <w:szCs w:val="24"/>
        </w:rPr>
        <w:t>equity</w:t>
      </w:r>
      <w:proofErr w:type="spellEnd"/>
      <w:r w:rsidRPr="00416C3F">
        <w:rPr>
          <w:rFonts w:cs="Calibri"/>
          <w:color w:val="665D54"/>
          <w:sz w:val="24"/>
          <w:szCs w:val="24"/>
        </w:rPr>
        <w:t>, ainsi que du provisionnement d’un actif immobilier pénalisé par l’environnement de marché.</w:t>
      </w:r>
    </w:p>
    <w:p w14:paraId="10DCE973" w14:textId="50F02C16" w:rsidR="00AF4006" w:rsidRDefault="00AF4006" w:rsidP="00AF4006">
      <w:pPr>
        <w:spacing w:after="0"/>
        <w:jc w:val="both"/>
        <w:rPr>
          <w:rFonts w:ascii="Avenir Next LT Pro Demi" w:hAnsi="Avenir Next LT Pro Demi"/>
          <w:color w:val="665D54"/>
          <w:sz w:val="24"/>
          <w:szCs w:val="24"/>
        </w:rPr>
      </w:pPr>
    </w:p>
    <w:p w14:paraId="74FFF7B8" w14:textId="77777777" w:rsidR="00EA429E" w:rsidRDefault="00EA429E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bookmarkStart w:id="4" w:name="_Hlk94621311"/>
    </w:p>
    <w:p w14:paraId="1ED55F32" w14:textId="77777777" w:rsidR="00ED5AFE" w:rsidRDefault="00ED5AFE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</w:p>
    <w:p w14:paraId="599E8C2F" w14:textId="13B95E08" w:rsidR="005D4199" w:rsidRPr="00AA074E" w:rsidRDefault="00ED5AFE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r>
        <w:rPr>
          <w:rFonts w:ascii="Avenir Next LT Pro Demi" w:hAnsi="Avenir Next LT Pro Demi" w:cs="Aptos"/>
          <w:b/>
          <w:color w:val="002060"/>
          <w:sz w:val="28"/>
          <w:szCs w:val="28"/>
        </w:rPr>
        <w:br w:type="page"/>
      </w:r>
      <w:r w:rsidR="005D4199" w:rsidRPr="00AA074E">
        <w:rPr>
          <w:rFonts w:ascii="Avenir Next LT Pro Demi" w:hAnsi="Avenir Next LT Pro Demi" w:cs="Aptos"/>
          <w:b/>
          <w:color w:val="002060"/>
          <w:sz w:val="28"/>
          <w:szCs w:val="28"/>
        </w:rPr>
        <w:lastRenderedPageBreak/>
        <w:t xml:space="preserve">Charges d’exploitation </w:t>
      </w:r>
    </w:p>
    <w:p w14:paraId="4E39E07F" w14:textId="326F2A82" w:rsidR="005D4199" w:rsidRPr="00416C3F" w:rsidRDefault="0067294A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 xml:space="preserve">Les charges d’exploitation augmentent </w:t>
      </w:r>
      <w:r w:rsidR="00ED5AFE">
        <w:rPr>
          <w:rFonts w:cs="Calibri"/>
          <w:color w:val="665D54"/>
          <w:sz w:val="24"/>
          <w:szCs w:val="24"/>
        </w:rPr>
        <w:t xml:space="preserve">de plus </w:t>
      </w:r>
      <w:r w:rsidR="0056662B">
        <w:rPr>
          <w:rFonts w:cs="Calibri"/>
          <w:color w:val="665D54"/>
          <w:sz w:val="24"/>
          <w:szCs w:val="24"/>
        </w:rPr>
        <w:t xml:space="preserve">de </w:t>
      </w:r>
      <w:r w:rsidR="0056662B" w:rsidRPr="00416C3F">
        <w:rPr>
          <w:rFonts w:cs="Calibri"/>
          <w:color w:val="665D54"/>
          <w:sz w:val="24"/>
          <w:szCs w:val="24"/>
        </w:rPr>
        <w:t>10</w:t>
      </w:r>
      <w:r w:rsidR="0056662B">
        <w:rPr>
          <w:rFonts w:cs="Calibri"/>
          <w:color w:val="665D54"/>
          <w:sz w:val="24"/>
          <w:szCs w:val="24"/>
        </w:rPr>
        <w:t xml:space="preserve"> </w:t>
      </w:r>
      <w:r w:rsidRPr="00416C3F">
        <w:rPr>
          <w:rFonts w:cs="Calibri"/>
          <w:color w:val="665D54"/>
          <w:sz w:val="24"/>
          <w:szCs w:val="24"/>
        </w:rPr>
        <w:t>%, reflétant les investissements inscrits dans le cadre du plan stratégique, en moyens humains comme</w:t>
      </w:r>
      <w:r w:rsidRPr="0067294A">
        <w:rPr>
          <w:rFonts w:ascii="Avenir Next LT Pro Demi" w:hAnsi="Avenir Next LT Pro Demi" w:cs="Aptos"/>
          <w:bCs/>
          <w:color w:val="665D54"/>
          <w:sz w:val="24"/>
          <w:szCs w:val="24"/>
        </w:rPr>
        <w:t xml:space="preserve"> </w:t>
      </w:r>
      <w:r w:rsidRPr="00416C3F">
        <w:rPr>
          <w:rFonts w:cs="Calibri"/>
          <w:color w:val="665D54"/>
          <w:sz w:val="24"/>
          <w:szCs w:val="24"/>
        </w:rPr>
        <w:t>en moyens informatiques, pour accompagner le développement et améliorer les process. Le fort développement des filiales contribue également à la croissance des charges d’exploitation du Groupe.</w:t>
      </w:r>
    </w:p>
    <w:p w14:paraId="7D57D456" w14:textId="77777777" w:rsidR="0067294A" w:rsidRPr="00416C3F" w:rsidRDefault="0067294A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</w:p>
    <w:bookmarkEnd w:id="4"/>
    <w:p w14:paraId="0942A87D" w14:textId="0F714982" w:rsidR="005D4199" w:rsidRPr="00416C3F" w:rsidRDefault="005D4199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r w:rsidRPr="00416C3F">
        <w:rPr>
          <w:rFonts w:ascii="Avenir Next LT Pro Demi" w:hAnsi="Avenir Next LT Pro Demi" w:cs="Aptos"/>
          <w:b/>
          <w:color w:val="002060"/>
          <w:sz w:val="28"/>
          <w:szCs w:val="28"/>
        </w:rPr>
        <w:t xml:space="preserve">Coefficient d’exploitation </w:t>
      </w:r>
    </w:p>
    <w:p w14:paraId="728B1CCC" w14:textId="7137852F" w:rsidR="005D4199" w:rsidRPr="00416C3F" w:rsidRDefault="00833B43" w:rsidP="005D4199">
      <w:pPr>
        <w:spacing w:after="0" w:line="240" w:lineRule="auto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Porté par la progression du PNB l</w:t>
      </w:r>
      <w:r w:rsidR="005D4199" w:rsidRPr="00416C3F">
        <w:rPr>
          <w:rFonts w:cs="Calibri"/>
          <w:color w:val="665D54"/>
          <w:sz w:val="24"/>
          <w:szCs w:val="24"/>
        </w:rPr>
        <w:t>e coefficient d’exploitation s’établit à 53,4 %</w:t>
      </w:r>
      <w:r w:rsidR="00ED5AFE">
        <w:rPr>
          <w:rFonts w:cs="Calibri"/>
          <w:color w:val="665D54"/>
          <w:sz w:val="24"/>
          <w:szCs w:val="24"/>
        </w:rPr>
        <w:t xml:space="preserve"> en ligne avec le plan stratégique</w:t>
      </w:r>
      <w:r w:rsidR="005D4199" w:rsidRPr="00416C3F">
        <w:rPr>
          <w:rFonts w:cs="Calibri"/>
          <w:color w:val="665D54"/>
          <w:sz w:val="24"/>
          <w:szCs w:val="24"/>
        </w:rPr>
        <w:t xml:space="preserve">. </w:t>
      </w:r>
    </w:p>
    <w:p w14:paraId="5DDCC56E" w14:textId="77777777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798EE898" w14:textId="77777777" w:rsidR="005D4199" w:rsidRPr="00416C3F" w:rsidRDefault="005D4199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r w:rsidRPr="00416C3F">
        <w:rPr>
          <w:rFonts w:ascii="Avenir Next LT Pro Demi" w:hAnsi="Avenir Next LT Pro Demi" w:cs="Aptos"/>
          <w:b/>
          <w:color w:val="002060"/>
          <w:sz w:val="28"/>
          <w:szCs w:val="28"/>
        </w:rPr>
        <w:t xml:space="preserve">Coût du risque </w:t>
      </w:r>
    </w:p>
    <w:p w14:paraId="7A7E150A" w14:textId="77777777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51FA0A5B" w14:textId="718BD484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 coût du risque global reste stable</w:t>
      </w:r>
      <w:r w:rsidR="00833B43" w:rsidRPr="00416C3F">
        <w:rPr>
          <w:rFonts w:cs="Calibri"/>
          <w:color w:val="665D54"/>
          <w:sz w:val="24"/>
          <w:szCs w:val="24"/>
        </w:rPr>
        <w:t xml:space="preserve"> (-0,3%) </w:t>
      </w:r>
      <w:r w:rsidRPr="00416C3F">
        <w:rPr>
          <w:rFonts w:cs="Calibri"/>
          <w:color w:val="665D54"/>
          <w:sz w:val="24"/>
          <w:szCs w:val="24"/>
        </w:rPr>
        <w:t xml:space="preserve">et s'établit à 194,9 M€. </w:t>
      </w:r>
    </w:p>
    <w:p w14:paraId="006C2A4A" w14:textId="77777777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509F1B91" w14:textId="77777777" w:rsidR="005D4199" w:rsidRPr="00416C3F" w:rsidRDefault="005D4199" w:rsidP="005D4199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r w:rsidRPr="00416C3F">
        <w:rPr>
          <w:rFonts w:ascii="Avenir Next LT Pro Demi" w:hAnsi="Avenir Next LT Pro Demi" w:cs="Aptos"/>
          <w:b/>
          <w:color w:val="002060"/>
          <w:sz w:val="28"/>
          <w:szCs w:val="28"/>
        </w:rPr>
        <w:t xml:space="preserve">Résultat net part du Groupe BRED </w:t>
      </w:r>
    </w:p>
    <w:p w14:paraId="02F17CD9" w14:textId="77777777" w:rsidR="005D4199" w:rsidRPr="00416C3F" w:rsidRDefault="005D4199" w:rsidP="005D4199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59CFCD56" w14:textId="3348D471" w:rsidR="00D123A3" w:rsidRPr="00416C3F" w:rsidRDefault="005D4199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 résultat net part du Groupe BRED atteint 423 M€ (+ 8</w:t>
      </w:r>
      <w:r w:rsidR="0067294A" w:rsidRPr="00416C3F">
        <w:rPr>
          <w:rFonts w:cs="Calibri"/>
          <w:color w:val="665D54"/>
          <w:sz w:val="24"/>
          <w:szCs w:val="24"/>
        </w:rPr>
        <w:t>,3</w:t>
      </w:r>
      <w:r w:rsidRPr="00416C3F">
        <w:rPr>
          <w:rFonts w:cs="Calibri"/>
          <w:color w:val="665D54"/>
          <w:sz w:val="24"/>
          <w:szCs w:val="24"/>
        </w:rPr>
        <w:t xml:space="preserve"> %)</w:t>
      </w:r>
      <w:r w:rsidR="0067294A" w:rsidRPr="00416C3F">
        <w:rPr>
          <w:rFonts w:cs="Calibri"/>
          <w:color w:val="665D54"/>
          <w:sz w:val="24"/>
          <w:szCs w:val="24"/>
        </w:rPr>
        <w:t>, deuxième meilleur résultat de l’histoire de la banque.</w:t>
      </w:r>
    </w:p>
    <w:p w14:paraId="5C4161FE" w14:textId="77777777" w:rsidR="00D123A3" w:rsidRPr="00416C3F" w:rsidRDefault="00D123A3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463E0046" w14:textId="77777777" w:rsidR="00D123A3" w:rsidRPr="00416C3F" w:rsidRDefault="005D4199" w:rsidP="00D123A3">
      <w:pPr>
        <w:spacing w:after="0"/>
        <w:jc w:val="both"/>
        <w:rPr>
          <w:rFonts w:ascii="Avenir Next LT Pro Demi" w:hAnsi="Avenir Next LT Pro Demi" w:cs="Aptos"/>
          <w:b/>
          <w:color w:val="002060"/>
          <w:sz w:val="28"/>
          <w:szCs w:val="28"/>
        </w:rPr>
      </w:pPr>
      <w:r w:rsidRPr="00416C3F">
        <w:rPr>
          <w:rFonts w:ascii="Avenir Next LT Pro Demi" w:hAnsi="Avenir Next LT Pro Demi" w:cs="Aptos"/>
          <w:b/>
          <w:color w:val="002060"/>
          <w:sz w:val="28"/>
          <w:szCs w:val="28"/>
        </w:rPr>
        <w:t>Ratio de solvabilité et de liquidité très solides</w:t>
      </w:r>
    </w:p>
    <w:p w14:paraId="05AD7DC0" w14:textId="77777777" w:rsidR="00D123A3" w:rsidRPr="00416C3F" w:rsidRDefault="005D4199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Les fonds propres comptables s’établissent à 7,</w:t>
      </w:r>
      <w:r w:rsidR="00236468" w:rsidRPr="00416C3F">
        <w:rPr>
          <w:rFonts w:cs="Calibri"/>
          <w:color w:val="665D54"/>
          <w:sz w:val="24"/>
          <w:szCs w:val="24"/>
        </w:rPr>
        <w:t>7</w:t>
      </w:r>
      <w:r w:rsidRPr="00416C3F">
        <w:rPr>
          <w:rFonts w:cs="Calibri"/>
          <w:color w:val="665D54"/>
          <w:sz w:val="24"/>
          <w:szCs w:val="24"/>
        </w:rPr>
        <w:t xml:space="preserve"> Md€, en progression de </w:t>
      </w:r>
      <w:r w:rsidR="00236468" w:rsidRPr="00416C3F">
        <w:rPr>
          <w:rFonts w:cs="Calibri"/>
          <w:color w:val="665D54"/>
          <w:sz w:val="24"/>
          <w:szCs w:val="24"/>
        </w:rPr>
        <w:t>8,0</w:t>
      </w:r>
      <w:r w:rsidRPr="00416C3F">
        <w:rPr>
          <w:rFonts w:cs="Calibri"/>
          <w:color w:val="665D54"/>
          <w:sz w:val="24"/>
          <w:szCs w:val="24"/>
        </w:rPr>
        <w:t xml:space="preserve"> % sur l’exercice.</w:t>
      </w:r>
    </w:p>
    <w:p w14:paraId="02131A6E" w14:textId="77777777" w:rsidR="00D123A3" w:rsidRPr="00416C3F" w:rsidRDefault="00D123A3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62386D1C" w14:textId="77777777" w:rsidR="00D123A3" w:rsidRPr="00416C3F" w:rsidRDefault="005D4199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 ratio de solvabilité CET1 ressort au très bon niveau de 1</w:t>
      </w:r>
      <w:r w:rsidR="004E285A" w:rsidRPr="00416C3F">
        <w:rPr>
          <w:rFonts w:cs="Calibri"/>
          <w:color w:val="665D54"/>
          <w:sz w:val="24"/>
          <w:szCs w:val="24"/>
        </w:rPr>
        <w:t>8,0</w:t>
      </w:r>
      <w:r w:rsidRPr="00416C3F">
        <w:rPr>
          <w:rFonts w:cs="Calibri"/>
          <w:color w:val="665D54"/>
          <w:sz w:val="24"/>
          <w:szCs w:val="24"/>
        </w:rPr>
        <w:t xml:space="preserve"> %.</w:t>
      </w:r>
    </w:p>
    <w:p w14:paraId="6CCEA13F" w14:textId="77777777" w:rsidR="00D123A3" w:rsidRPr="00416C3F" w:rsidRDefault="00D123A3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</w:p>
    <w:p w14:paraId="402625AD" w14:textId="4C265270" w:rsidR="00AA074E" w:rsidRPr="00416C3F" w:rsidRDefault="005D4199" w:rsidP="00D123A3">
      <w:pPr>
        <w:spacing w:after="0"/>
        <w:jc w:val="both"/>
        <w:rPr>
          <w:rFonts w:cs="Calibri"/>
          <w:color w:val="665D54"/>
          <w:sz w:val="24"/>
          <w:szCs w:val="24"/>
        </w:rPr>
      </w:pPr>
      <w:r w:rsidRPr="00416C3F">
        <w:rPr>
          <w:rFonts w:cs="Calibri"/>
          <w:color w:val="665D54"/>
          <w:sz w:val="24"/>
          <w:szCs w:val="24"/>
        </w:rPr>
        <w:t>Le ratio de liquidité LCR</w:t>
      </w:r>
      <w:r w:rsidR="00833B43" w:rsidRPr="00416C3F">
        <w:rPr>
          <w:rFonts w:cs="Calibri"/>
          <w:color w:val="665D54"/>
          <w:sz w:val="24"/>
          <w:szCs w:val="24"/>
        </w:rPr>
        <w:t xml:space="preserve"> (</w:t>
      </w:r>
      <w:proofErr w:type="spellStart"/>
      <w:r w:rsidR="00833B43" w:rsidRPr="00416C3F">
        <w:rPr>
          <w:rFonts w:cs="Calibri"/>
          <w:color w:val="665D54"/>
          <w:sz w:val="24"/>
          <w:szCs w:val="24"/>
        </w:rPr>
        <w:t>Liquidity</w:t>
      </w:r>
      <w:proofErr w:type="spellEnd"/>
      <w:r w:rsidR="00833B43" w:rsidRPr="00416C3F">
        <w:rPr>
          <w:rFonts w:cs="Calibri"/>
          <w:color w:val="665D54"/>
          <w:sz w:val="24"/>
          <w:szCs w:val="24"/>
        </w:rPr>
        <w:t xml:space="preserve"> </w:t>
      </w:r>
      <w:proofErr w:type="spellStart"/>
      <w:r w:rsidR="00833B43" w:rsidRPr="00416C3F">
        <w:rPr>
          <w:rFonts w:cs="Calibri"/>
          <w:color w:val="665D54"/>
          <w:sz w:val="24"/>
          <w:szCs w:val="24"/>
        </w:rPr>
        <w:t>Coverage</w:t>
      </w:r>
      <w:proofErr w:type="spellEnd"/>
      <w:r w:rsidR="00833B43" w:rsidRPr="00416C3F">
        <w:rPr>
          <w:rFonts w:cs="Calibri"/>
          <w:color w:val="665D54"/>
          <w:sz w:val="24"/>
          <w:szCs w:val="24"/>
        </w:rPr>
        <w:t xml:space="preserve"> Ratio)</w:t>
      </w:r>
      <w:r w:rsidRPr="00416C3F">
        <w:rPr>
          <w:rFonts w:cs="Calibri"/>
          <w:color w:val="665D54"/>
          <w:sz w:val="24"/>
          <w:szCs w:val="24"/>
        </w:rPr>
        <w:t xml:space="preserve"> s’élève à 1</w:t>
      </w:r>
      <w:r w:rsidR="004E285A" w:rsidRPr="00416C3F">
        <w:rPr>
          <w:rFonts w:cs="Calibri"/>
          <w:color w:val="665D54"/>
          <w:sz w:val="24"/>
          <w:szCs w:val="24"/>
        </w:rPr>
        <w:t>46</w:t>
      </w:r>
      <w:r w:rsidRPr="00416C3F">
        <w:rPr>
          <w:rFonts w:cs="Calibri"/>
          <w:color w:val="665D54"/>
          <w:sz w:val="24"/>
          <w:szCs w:val="24"/>
        </w:rPr>
        <w:t xml:space="preserve"> % au 31 décembre 202</w:t>
      </w:r>
      <w:r w:rsidR="004E285A" w:rsidRPr="00416C3F">
        <w:rPr>
          <w:rFonts w:cs="Calibri"/>
          <w:color w:val="665D54"/>
          <w:sz w:val="24"/>
          <w:szCs w:val="24"/>
        </w:rPr>
        <w:t>5</w:t>
      </w:r>
      <w:r w:rsidRPr="00416C3F">
        <w:rPr>
          <w:rFonts w:cs="Calibri"/>
          <w:color w:val="665D54"/>
          <w:sz w:val="24"/>
          <w:szCs w:val="24"/>
        </w:rPr>
        <w:t xml:space="preserve"> pour une exigence minimale réglementaire de 100 %. Le NSFR (Net Stable </w:t>
      </w:r>
      <w:proofErr w:type="spellStart"/>
      <w:r w:rsidRPr="00416C3F">
        <w:rPr>
          <w:rFonts w:cs="Calibri"/>
          <w:color w:val="665D54"/>
          <w:sz w:val="24"/>
          <w:szCs w:val="24"/>
        </w:rPr>
        <w:t>Funding</w:t>
      </w:r>
      <w:proofErr w:type="spellEnd"/>
      <w:r w:rsidRPr="00416C3F">
        <w:rPr>
          <w:rFonts w:cs="Calibri"/>
          <w:color w:val="665D54"/>
          <w:sz w:val="24"/>
          <w:szCs w:val="24"/>
        </w:rPr>
        <w:t xml:space="preserve"> Ratio) de BRED </w:t>
      </w:r>
      <w:r w:rsidR="00DD5E73">
        <w:rPr>
          <w:rFonts w:cs="Calibri"/>
          <w:color w:val="665D54"/>
          <w:sz w:val="24"/>
          <w:szCs w:val="24"/>
        </w:rPr>
        <w:t xml:space="preserve">Banque Populaire </w:t>
      </w:r>
      <w:r w:rsidRPr="00416C3F">
        <w:rPr>
          <w:rFonts w:cs="Calibri"/>
          <w:color w:val="665D54"/>
          <w:sz w:val="24"/>
          <w:szCs w:val="24"/>
        </w:rPr>
        <w:t>ressort à 1</w:t>
      </w:r>
      <w:r w:rsidR="004E285A" w:rsidRPr="00416C3F">
        <w:rPr>
          <w:rFonts w:cs="Calibri"/>
          <w:color w:val="665D54"/>
          <w:sz w:val="24"/>
          <w:szCs w:val="24"/>
        </w:rPr>
        <w:t>21</w:t>
      </w:r>
      <w:r w:rsidRPr="00416C3F">
        <w:rPr>
          <w:rFonts w:cs="Calibri"/>
          <w:color w:val="665D54"/>
          <w:sz w:val="24"/>
          <w:szCs w:val="24"/>
        </w:rPr>
        <w:t xml:space="preserve"> % au 31 décembre 202</w:t>
      </w:r>
      <w:r w:rsidR="004E285A" w:rsidRPr="00416C3F">
        <w:rPr>
          <w:rFonts w:cs="Calibri"/>
          <w:color w:val="665D54"/>
          <w:sz w:val="24"/>
          <w:szCs w:val="24"/>
        </w:rPr>
        <w:t>5</w:t>
      </w:r>
      <w:r w:rsidRPr="00416C3F">
        <w:rPr>
          <w:rFonts w:cs="Calibri"/>
          <w:color w:val="665D54"/>
          <w:sz w:val="24"/>
          <w:szCs w:val="24"/>
        </w:rPr>
        <w:t xml:space="preserve"> pour une exigence minimale réglementaire de 100 %</w:t>
      </w:r>
      <w:r w:rsidR="00833B43" w:rsidRPr="00416C3F">
        <w:rPr>
          <w:rFonts w:cs="Calibri"/>
          <w:color w:val="665D54"/>
          <w:sz w:val="24"/>
          <w:szCs w:val="24"/>
        </w:rPr>
        <w:t xml:space="preserve"> également</w:t>
      </w:r>
      <w:r w:rsidRPr="00416C3F">
        <w:rPr>
          <w:rFonts w:cs="Calibri"/>
          <w:color w:val="665D54"/>
          <w:sz w:val="24"/>
          <w:szCs w:val="24"/>
        </w:rPr>
        <w:t>.</w:t>
      </w:r>
    </w:p>
    <w:p w14:paraId="1BE65398" w14:textId="77777777" w:rsidR="005851EE" w:rsidRDefault="005851EE" w:rsidP="00416C3F">
      <w:pPr>
        <w:spacing w:after="0" w:line="240" w:lineRule="auto"/>
        <w:rPr>
          <w:rFonts w:ascii="Avenir Next LT Pro Demi" w:hAnsi="Avenir Next LT Pro Demi"/>
          <w:b/>
          <w:color w:val="665D54"/>
          <w:sz w:val="28"/>
        </w:rPr>
      </w:pPr>
    </w:p>
    <w:p w14:paraId="125D2199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0B938070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4FE87B4B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2CF67BA1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7E11232B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14BDE7D9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08E84371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4E884FF1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7BC91CEE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42165B5A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262D4AB4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7C7B9EDE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3ABB0B19" w14:textId="77777777" w:rsidR="00EA429E" w:rsidRDefault="00EA429E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p w14:paraId="1590D48B" w14:textId="2D8AA3CF" w:rsidR="005D4199" w:rsidRPr="00AA074E" w:rsidRDefault="005D4199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  <w:r w:rsidRPr="00AA074E">
        <w:rPr>
          <w:rFonts w:ascii="Avenir Next LT Pro Demi" w:hAnsi="Avenir Next LT Pro Demi"/>
          <w:b/>
          <w:color w:val="665D54"/>
          <w:sz w:val="28"/>
        </w:rPr>
        <w:t>Compte de résultat consolidé de BRED</w:t>
      </w:r>
      <w:r w:rsidR="00416C3F">
        <w:rPr>
          <w:rFonts w:ascii="Avenir Next LT Pro Demi" w:hAnsi="Avenir Next LT Pro Demi"/>
          <w:b/>
          <w:color w:val="665D54"/>
          <w:sz w:val="28"/>
        </w:rPr>
        <w:t xml:space="preserve"> Banque Populaire</w:t>
      </w:r>
    </w:p>
    <w:p w14:paraId="70369DF4" w14:textId="77777777" w:rsidR="005D4199" w:rsidRPr="00AA074E" w:rsidRDefault="005D4199" w:rsidP="005D4199">
      <w:pPr>
        <w:spacing w:after="0" w:line="240" w:lineRule="auto"/>
        <w:jc w:val="center"/>
        <w:rPr>
          <w:rFonts w:ascii="Avenir Next LT Pro Demi" w:hAnsi="Avenir Next LT Pro Demi"/>
          <w:b/>
          <w:color w:val="665D54"/>
          <w:sz w:val="28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  <w:gridCol w:w="200"/>
        <w:gridCol w:w="1340"/>
        <w:gridCol w:w="1340"/>
        <w:gridCol w:w="1340"/>
      </w:tblGrid>
      <w:tr w:rsidR="005D4199" w:rsidRPr="00AA074E" w14:paraId="40E0235B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569074" w14:textId="77777777" w:rsidR="005D4199" w:rsidRPr="00AA074E" w:rsidRDefault="005D4199" w:rsidP="00070B54">
            <w:pPr>
              <w:spacing w:after="0" w:line="240" w:lineRule="auto"/>
              <w:rPr>
                <w:rFonts w:ascii="Avenir Next LT Pro Demi" w:eastAsia="Times New Roman" w:hAnsi="Avenir Next LT Pro Dem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Calibri"/>
                <w:i/>
                <w:iCs/>
                <w:color w:val="000000"/>
                <w:sz w:val="18"/>
                <w:szCs w:val="18"/>
                <w:lang w:eastAsia="fr-FR"/>
              </w:rPr>
              <w:t>Chiffres en M€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BD6E" w14:textId="77777777" w:rsidR="005D4199" w:rsidRPr="00AA074E" w:rsidRDefault="005D4199" w:rsidP="00070B54">
            <w:pPr>
              <w:spacing w:after="0" w:line="240" w:lineRule="auto"/>
              <w:rPr>
                <w:rFonts w:ascii="Avenir Next LT Pro Demi" w:eastAsia="Times New Roman" w:hAnsi="Avenir Next LT Pro Demi" w:cs="Calibri"/>
                <w:i/>
                <w:i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01893" w14:textId="51A04F34" w:rsidR="005D4199" w:rsidRPr="00AA074E" w:rsidRDefault="005D4199" w:rsidP="00070B54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  <w:t>202</w:t>
            </w:r>
            <w:r w:rsidR="00C50921"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A3A9" w14:textId="65878337" w:rsidR="005D4199" w:rsidRPr="00AA074E" w:rsidRDefault="005D4199" w:rsidP="00070B54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  <w:t>202</w:t>
            </w:r>
            <w:r w:rsidR="00C50921"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23F38" w14:textId="77777777" w:rsidR="005D4199" w:rsidRPr="00AA074E" w:rsidRDefault="005D4199" w:rsidP="00070B54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Calibri"/>
                <w:b/>
                <w:bCs/>
                <w:color w:val="000000"/>
                <w:lang w:eastAsia="fr-FR"/>
              </w:rPr>
              <w:t>Variation</w:t>
            </w:r>
          </w:p>
        </w:tc>
      </w:tr>
      <w:tr w:rsidR="00C50921" w:rsidRPr="00AA074E" w14:paraId="4609DAB8" w14:textId="77777777" w:rsidTr="00070B54">
        <w:trPr>
          <w:trHeight w:val="324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71B935FE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PRODUIT NET BANCAIRE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4C9A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21DCAF8D" w14:textId="173BAF2C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1 468,0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2A477483" w14:textId="2D1A3C3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1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 727,5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36362"/>
            <w:noWrap/>
            <w:vAlign w:val="center"/>
            <w:hideMark/>
          </w:tcPr>
          <w:p w14:paraId="124D9996" w14:textId="34749711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+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17,7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032B7FDD" w14:textId="77777777" w:rsidTr="00C50921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18ACC6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8EE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971AB9" w14:textId="2FCD69F6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90A25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36E63E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2A364979" w14:textId="77777777" w:rsidTr="00C50921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36D502A0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TOTAL CHARGES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7697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391C4DC1" w14:textId="5EC800B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- 835,2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0DDFC939" w14:textId="7371BFE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922,3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5D373698" w14:textId="540DA9F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+ 1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0,4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696ACD2E" w14:textId="77777777" w:rsidTr="00C50921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AD8224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A174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CBB15" w14:textId="0826327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1C33C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9BADE4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735F7BF6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414E573F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RÉSULTAT BRUT D'EXPLOITATION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D730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44CD3B55" w14:textId="46D46F4B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632,7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1069FF21" w14:textId="52D1ADD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805,2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4D6D40E5" w14:textId="204E69E6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+ 2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7,3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1A949EF0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3865A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F972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F6095" w14:textId="4BA7CC4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909A0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02FC44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1A580007" w14:textId="77777777" w:rsidTr="00070B54">
        <w:trPr>
          <w:trHeight w:val="288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A215C2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Coefficient d’exploitation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92A3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B44EA" w14:textId="599F7C7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56,9%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FACB6" w14:textId="27B33EF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3,4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18494" w14:textId="2BB2FE0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-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,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 pts</w:t>
            </w:r>
          </w:p>
        </w:tc>
      </w:tr>
      <w:tr w:rsidR="00C50921" w:rsidRPr="00AA074E" w14:paraId="542D933C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05D35A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F020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DB996" w14:textId="06714715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5B803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812321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28E056D0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73765483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COÛT DU RISQUE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1F20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7CD7DA13" w14:textId="75139E1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- 195,5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7FD607BB" w14:textId="100E7298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- 19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50F38273" w14:textId="1F9A204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-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0,3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57493D81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F25A8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6B6E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9A4D27" w14:textId="191D869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EA41D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3AC94C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265D6B49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2FC94FFC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RÉSULTAT D'EXPLOITATION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5362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15A1B277" w14:textId="61C353DB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437,2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77484D3A" w14:textId="0427DC28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610,3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2BC7ADA5" w14:textId="6709CF83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+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39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,6 %</w:t>
            </w:r>
          </w:p>
        </w:tc>
      </w:tr>
      <w:tr w:rsidR="00C50921" w:rsidRPr="00AA074E" w14:paraId="199E24B1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988EA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817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E5773" w14:textId="28B22275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DC299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AF5009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3D719745" w14:textId="77777777" w:rsidTr="00070B54">
        <w:trPr>
          <w:trHeight w:val="288"/>
        </w:trPr>
        <w:tc>
          <w:tcPr>
            <w:tcW w:w="4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24F59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Quote-part des entreprises mises en équivalence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FA41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F38D2" w14:textId="49E60D53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17,1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3CCBF" w14:textId="0F7AA370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26,2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289EA" w14:textId="73583F40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+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53,7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1FF451C7" w14:textId="77777777" w:rsidTr="00070B54">
        <w:trPr>
          <w:trHeight w:val="492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1898E" w14:textId="77777777" w:rsidR="00C50921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Gains ou pertes sur autres actifs </w:t>
            </w:r>
          </w:p>
          <w:p w14:paraId="49C513EC" w14:textId="37FA9136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Variations de valeurs d’acquisition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271E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F4D72" w14:textId="6A7ACF60" w:rsidR="00C50921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33,9</w:t>
            </w:r>
          </w:p>
          <w:p w14:paraId="3CDB7055" w14:textId="75AD8C75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D6DD9" w14:textId="77777777" w:rsidR="00C50921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7,3</w:t>
            </w:r>
          </w:p>
          <w:p w14:paraId="49713CD4" w14:textId="751D176C" w:rsidR="00C50921" w:rsidRPr="00C50921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sz w:val="20"/>
                <w:szCs w:val="20"/>
                <w:lang w:eastAsia="fr-FR"/>
              </w:rPr>
            </w:pPr>
            <w:r w:rsidRPr="00C50921">
              <w:rPr>
                <w:rFonts w:ascii="Avenir Next LT Pro Demi" w:eastAsia="Times New Roman" w:hAnsi="Avenir Next LT Pro Demi" w:cs="Aptos"/>
                <w:b/>
                <w:bCs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venir Next LT Pro Demi" w:eastAsia="Times New Roman" w:hAnsi="Avenir Next LT Pro Demi" w:cs="Aptos"/>
                <w:b/>
                <w:bCs/>
                <w:sz w:val="20"/>
                <w:szCs w:val="20"/>
                <w:lang w:eastAsia="fr-FR"/>
              </w:rPr>
              <w:t>1,6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21162" w14:textId="77777777" w:rsidR="00C50921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NA</w:t>
            </w:r>
          </w:p>
          <w:p w14:paraId="18376397" w14:textId="0D1DF8B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NA</w:t>
            </w:r>
          </w:p>
        </w:tc>
      </w:tr>
      <w:tr w:rsidR="00C50921" w:rsidRPr="00AA074E" w14:paraId="035710C7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F2026D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0636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F0DC5" w14:textId="0DACEA66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03BB2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3F02B0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70240274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3E2B58EB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RÉSULTAT COURANT AVANT IMPÔT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F2CF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12B5B4F6" w14:textId="18812A56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488,2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5FEBF8F6" w14:textId="4986269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642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7ABAED06" w14:textId="44CD731D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+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31,6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  <w:tr w:rsidR="00C50921" w:rsidRPr="00AA074E" w14:paraId="61B43684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7EFEF9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606A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780B3" w14:textId="33682B5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123B9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846219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384BC8B5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C5333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Impôt sur le résultat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9EEC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DA3F2" w14:textId="53B5443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- 90,8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73716" w14:textId="7ACD8F90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211,1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8F500" w14:textId="7EDD620C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NA</w:t>
            </w:r>
          </w:p>
        </w:tc>
      </w:tr>
      <w:tr w:rsidR="00C50921" w:rsidRPr="00AA074E" w14:paraId="791F71DC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5F9B13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D0124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1A8BC" w14:textId="085407CD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2E1EE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232B1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3864163D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466002A7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RÉSULTAT NET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92B6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36D34C59" w14:textId="36822B05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397,4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6324D277" w14:textId="4983FA69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431,1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86B4"/>
            <w:noWrap/>
            <w:vAlign w:val="center"/>
            <w:hideMark/>
          </w:tcPr>
          <w:p w14:paraId="16AAFACC" w14:textId="37457C86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+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8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,5 %</w:t>
            </w:r>
          </w:p>
        </w:tc>
      </w:tr>
      <w:tr w:rsidR="00C50921" w:rsidRPr="00AA074E" w14:paraId="25880352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5E97D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5D9D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33DF4" w14:textId="6FB68B9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CA563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61A873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7E6976DD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F41576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Intérêts minoritaires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444E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148AA" w14:textId="5E298865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- 6,4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D83EA" w14:textId="3BC13EE4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A7FE5" w14:textId="12633910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 xml:space="preserve">+ 20,1 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%</w:t>
            </w:r>
          </w:p>
        </w:tc>
      </w:tr>
      <w:tr w:rsidR="00C50921" w:rsidRPr="00AA074E" w14:paraId="6804E65B" w14:textId="77777777" w:rsidTr="00070B54">
        <w:trPr>
          <w:trHeight w:val="168"/>
        </w:trPr>
        <w:tc>
          <w:tcPr>
            <w:tcW w:w="4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01F419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27A3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3A022" w14:textId="2B41AC62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3255F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9D925D" w14:textId="77777777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0921" w:rsidRPr="00AA074E" w14:paraId="2D079C65" w14:textId="77777777" w:rsidTr="00070B54">
        <w:trPr>
          <w:trHeight w:val="300"/>
        </w:trPr>
        <w:tc>
          <w:tcPr>
            <w:tcW w:w="4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1F06128B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RÉSULTAT NET PART DU GROUPE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1E09" w14:textId="77777777" w:rsidR="00C50921" w:rsidRPr="00AA074E" w:rsidRDefault="00C50921" w:rsidP="00C50921">
            <w:pPr>
              <w:spacing w:after="0" w:line="240" w:lineRule="auto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37471A4F" w14:textId="4D8579D0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391,0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3DC916C6" w14:textId="0D0D6D7E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423,4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636362"/>
            <w:noWrap/>
            <w:vAlign w:val="center"/>
            <w:hideMark/>
          </w:tcPr>
          <w:p w14:paraId="667B8E1B" w14:textId="6D3E86EF" w:rsidR="00C50921" w:rsidRPr="00AA074E" w:rsidRDefault="00C50921" w:rsidP="00C50921">
            <w:pPr>
              <w:spacing w:after="0" w:line="240" w:lineRule="auto"/>
              <w:jc w:val="center"/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+ </w:t>
            </w:r>
            <w:r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>8,3</w:t>
            </w:r>
            <w:r w:rsidRPr="00AA074E">
              <w:rPr>
                <w:rFonts w:ascii="Avenir Next LT Pro Demi" w:eastAsia="Times New Roman" w:hAnsi="Avenir Next LT Pro Demi" w:cs="Aptos"/>
                <w:b/>
                <w:bCs/>
                <w:color w:val="FFFFFF"/>
                <w:sz w:val="20"/>
                <w:szCs w:val="20"/>
                <w:lang w:eastAsia="fr-FR"/>
              </w:rPr>
              <w:t xml:space="preserve"> %</w:t>
            </w:r>
          </w:p>
        </w:tc>
      </w:tr>
    </w:tbl>
    <w:p w14:paraId="18078877" w14:textId="77777777" w:rsidR="005D4199" w:rsidRPr="00AA074E" w:rsidRDefault="005D4199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 w:cs="Aptos"/>
          <w:b/>
          <w:color w:val="665D54"/>
          <w:sz w:val="24"/>
          <w:szCs w:val="24"/>
        </w:rPr>
      </w:pPr>
    </w:p>
    <w:p w14:paraId="5F3A7010" w14:textId="77777777" w:rsidR="007626B2" w:rsidRDefault="007626B2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 w:cs="Aptos"/>
          <w:b/>
          <w:color w:val="665D54"/>
          <w:sz w:val="24"/>
          <w:szCs w:val="24"/>
        </w:rPr>
      </w:pPr>
    </w:p>
    <w:p w14:paraId="514BD8B0" w14:textId="77777777" w:rsidR="00EA429E" w:rsidRDefault="00EA429E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 w:cs="Aptos"/>
          <w:b/>
          <w:color w:val="665D54"/>
          <w:sz w:val="24"/>
          <w:szCs w:val="24"/>
        </w:rPr>
      </w:pPr>
    </w:p>
    <w:p w14:paraId="47747EFD" w14:textId="77777777" w:rsidR="00EA429E" w:rsidRDefault="00EA429E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 w:cs="Aptos"/>
          <w:b/>
          <w:color w:val="665D54"/>
          <w:sz w:val="24"/>
          <w:szCs w:val="24"/>
        </w:rPr>
      </w:pPr>
    </w:p>
    <w:p w14:paraId="740AF26D" w14:textId="65C4BC31" w:rsidR="005D4199" w:rsidRPr="00AA074E" w:rsidRDefault="005D4199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 w:cs="Aptos"/>
          <w:b/>
          <w:color w:val="665D54"/>
          <w:sz w:val="24"/>
          <w:szCs w:val="24"/>
        </w:rPr>
      </w:pPr>
      <w:r w:rsidRPr="00AA074E">
        <w:rPr>
          <w:rFonts w:ascii="Avenir Next LT Pro Demi" w:hAnsi="Avenir Next LT Pro Demi" w:cs="Aptos"/>
          <w:b/>
          <w:color w:val="665D54"/>
          <w:sz w:val="24"/>
          <w:szCs w:val="24"/>
        </w:rPr>
        <w:t>À propos de BRED Banque Populaire</w:t>
      </w:r>
    </w:p>
    <w:p w14:paraId="63033E73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 w:cs="Aptos"/>
          <w:sz w:val="24"/>
          <w:szCs w:val="24"/>
        </w:rPr>
      </w:pPr>
    </w:p>
    <w:p w14:paraId="50302958" w14:textId="77777777" w:rsidR="009C2D3F" w:rsidRPr="009C2D3F" w:rsidRDefault="009C2D3F" w:rsidP="009C2D3F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  <w:r w:rsidRPr="009C2D3F">
        <w:rPr>
          <w:rFonts w:ascii="Avenir Next LT Pro Demi" w:hAnsi="Avenir Next LT Pro Demi"/>
          <w:sz w:val="24"/>
          <w:szCs w:val="24"/>
        </w:rPr>
        <w:t>BRED Banque Populaire est une banque populaire coopérative, membre du Groupe BPCE, forte de plus de 200 000 sociétaires, de 7,1 Mds€ de capitaux propres et de 7 300 collaborateurs – dont 40 % hors de France et dans les COM. Elle opère en Île-de-France, en Normandie et dans les territoires d’outre-mer, ainsi qu’au travers de ses filiales de banque commerciale en Asie du Sud-Est, dans le Pacifique Sud, en Afrique et en Suisse.</w:t>
      </w:r>
    </w:p>
    <w:p w14:paraId="0F57A198" w14:textId="77777777" w:rsidR="00D31EE0" w:rsidRDefault="00D31EE0" w:rsidP="009C2D3F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</w:p>
    <w:p w14:paraId="62AEE79D" w14:textId="41B6729C" w:rsidR="009C2D3F" w:rsidRPr="009C2D3F" w:rsidRDefault="009C2D3F" w:rsidP="009C2D3F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  <w:r w:rsidRPr="009C2D3F">
        <w:rPr>
          <w:rFonts w:ascii="Avenir Next LT Pro Demi" w:hAnsi="Avenir Next LT Pro Demi"/>
          <w:sz w:val="24"/>
          <w:szCs w:val="24"/>
        </w:rPr>
        <w:t>Banque de proximité engagée sur ses territoires, elle déploie en France et à l’international un réseau de 4</w:t>
      </w:r>
      <w:r w:rsidR="00D31EE0">
        <w:rPr>
          <w:rFonts w:ascii="Avenir Next LT Pro Demi" w:hAnsi="Avenir Next LT Pro Demi"/>
          <w:sz w:val="24"/>
          <w:szCs w:val="24"/>
        </w:rPr>
        <w:t>92</w:t>
      </w:r>
      <w:r w:rsidRPr="009C2D3F">
        <w:rPr>
          <w:rFonts w:ascii="Avenir Next LT Pro Demi" w:hAnsi="Avenir Next LT Pro Demi"/>
          <w:sz w:val="24"/>
          <w:szCs w:val="24"/>
        </w:rPr>
        <w:t xml:space="preserve"> </w:t>
      </w:r>
      <w:r w:rsidR="00D31EE0">
        <w:rPr>
          <w:rFonts w:ascii="Avenir Next LT Pro Demi" w:hAnsi="Avenir Next LT Pro Demi"/>
          <w:sz w:val="24"/>
          <w:szCs w:val="24"/>
        </w:rPr>
        <w:t>agences</w:t>
      </w:r>
      <w:r w:rsidRPr="009C2D3F">
        <w:rPr>
          <w:rFonts w:ascii="Avenir Next LT Pro Demi" w:hAnsi="Avenir Next LT Pro Demi"/>
          <w:sz w:val="24"/>
          <w:szCs w:val="24"/>
        </w:rPr>
        <w:t>. Elle entretient une relation de long terme avec 1,</w:t>
      </w:r>
      <w:r w:rsidR="00D31EE0">
        <w:rPr>
          <w:rFonts w:ascii="Avenir Next LT Pro Demi" w:hAnsi="Avenir Next LT Pro Demi"/>
          <w:sz w:val="24"/>
          <w:szCs w:val="24"/>
        </w:rPr>
        <w:t>7</w:t>
      </w:r>
      <w:r w:rsidRPr="009C2D3F">
        <w:rPr>
          <w:rFonts w:ascii="Avenir Next LT Pro Demi" w:hAnsi="Avenir Next LT Pro Demi"/>
          <w:sz w:val="24"/>
          <w:szCs w:val="24"/>
        </w:rPr>
        <w:t xml:space="preserve"> million de clients.</w:t>
      </w:r>
    </w:p>
    <w:p w14:paraId="161C4CFF" w14:textId="77777777" w:rsidR="00D31EE0" w:rsidRDefault="00D31EE0" w:rsidP="009C2D3F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</w:p>
    <w:p w14:paraId="6AF85949" w14:textId="2FDEEC4F" w:rsidR="009C2D3F" w:rsidRPr="009C2D3F" w:rsidRDefault="009C2D3F" w:rsidP="009C2D3F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  <w:r w:rsidRPr="009C2D3F">
        <w:rPr>
          <w:rFonts w:ascii="Avenir Next LT Pro Demi" w:hAnsi="Avenir Next LT Pro Demi"/>
          <w:sz w:val="24"/>
          <w:szCs w:val="24"/>
        </w:rPr>
        <w:t>BRED Banque Populaire regroupe des activités diversifiées – banque de détail, banque de financement et d’investissement, banque de gestion privée, banques à l’international, société de gestion d’actifs, compagnie d’assurance, banque de financement du négoce international.</w:t>
      </w:r>
    </w:p>
    <w:p w14:paraId="1D6C9365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  <w:highlight w:val="yellow"/>
        </w:rPr>
      </w:pPr>
    </w:p>
    <w:p w14:paraId="695F43C2" w14:textId="73B971D2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  <w:r w:rsidRPr="00AA074E">
        <w:rPr>
          <w:rFonts w:ascii="Avenir Next LT Pro Demi" w:hAnsi="Avenir Next LT Pro Demi"/>
          <w:sz w:val="24"/>
          <w:szCs w:val="24"/>
        </w:rPr>
        <w:t>En 202</w:t>
      </w:r>
      <w:r w:rsidR="00012AC3">
        <w:rPr>
          <w:rFonts w:ascii="Avenir Next LT Pro Demi" w:hAnsi="Avenir Next LT Pro Demi"/>
          <w:sz w:val="24"/>
          <w:szCs w:val="24"/>
        </w:rPr>
        <w:t>5</w:t>
      </w:r>
      <w:r w:rsidRPr="00AA074E">
        <w:rPr>
          <w:rFonts w:ascii="Avenir Next LT Pro Demi" w:hAnsi="Avenir Next LT Pro Demi"/>
          <w:sz w:val="24"/>
          <w:szCs w:val="24"/>
        </w:rPr>
        <w:t xml:space="preserve">, BRED </w:t>
      </w:r>
      <w:r w:rsidR="00D31EE0">
        <w:rPr>
          <w:rFonts w:ascii="Avenir Next LT Pro Demi" w:hAnsi="Avenir Next LT Pro Demi"/>
          <w:sz w:val="24"/>
          <w:szCs w:val="24"/>
        </w:rPr>
        <w:t xml:space="preserve">Banque Populaire </w:t>
      </w:r>
      <w:r w:rsidRPr="00AA074E">
        <w:rPr>
          <w:rFonts w:ascii="Avenir Next LT Pro Demi" w:hAnsi="Avenir Next LT Pro Demi"/>
          <w:sz w:val="24"/>
          <w:szCs w:val="24"/>
        </w:rPr>
        <w:t>a réalisé un PNB consolidé de 1,7 milliard d’euros et son résultat net s’établit à 423 millions d’euros.</w:t>
      </w:r>
    </w:p>
    <w:p w14:paraId="06B760EB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 w:cs="Aptos"/>
          <w:color w:val="665D54"/>
          <w:sz w:val="24"/>
          <w:szCs w:val="24"/>
          <w:highlight w:val="yellow"/>
        </w:rPr>
      </w:pPr>
    </w:p>
    <w:p w14:paraId="440DB904" w14:textId="77777777" w:rsidR="005D4199" w:rsidRPr="00AA074E" w:rsidRDefault="005D4199" w:rsidP="005D4199">
      <w:pPr>
        <w:keepNext/>
        <w:pBdr>
          <w:bottom w:val="single" w:sz="18" w:space="1" w:color="665D54"/>
        </w:pBdr>
        <w:spacing w:after="0" w:line="240" w:lineRule="auto"/>
        <w:jc w:val="both"/>
        <w:rPr>
          <w:rFonts w:ascii="Avenir Next LT Pro Demi" w:hAnsi="Avenir Next LT Pro Demi"/>
          <w:b/>
          <w:color w:val="665D54"/>
          <w:sz w:val="24"/>
          <w:szCs w:val="28"/>
        </w:rPr>
      </w:pPr>
      <w:r w:rsidRPr="00AA074E">
        <w:rPr>
          <w:rFonts w:ascii="Avenir Next LT Pro Demi" w:hAnsi="Avenir Next LT Pro Demi"/>
          <w:b/>
          <w:color w:val="665D54"/>
          <w:sz w:val="24"/>
          <w:szCs w:val="28"/>
        </w:rPr>
        <w:t>Contacts Presse</w:t>
      </w:r>
    </w:p>
    <w:p w14:paraId="5D7F9748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 w:cs="Aptos"/>
          <w:color w:val="665D54"/>
          <w:sz w:val="24"/>
          <w:szCs w:val="24"/>
        </w:rPr>
      </w:pPr>
    </w:p>
    <w:p w14:paraId="02DB9447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</w:rPr>
      </w:pPr>
      <w:r w:rsidRPr="00AA074E">
        <w:rPr>
          <w:rFonts w:ascii="Avenir Next LT Pro Demi" w:hAnsi="Avenir Next LT Pro Demi"/>
        </w:rPr>
        <w:t xml:space="preserve">Leïla </w:t>
      </w:r>
      <w:proofErr w:type="spellStart"/>
      <w:r w:rsidRPr="00AA074E">
        <w:rPr>
          <w:rFonts w:ascii="Avenir Next LT Pro Demi" w:hAnsi="Avenir Next LT Pro Demi"/>
        </w:rPr>
        <w:t>Salimi</w:t>
      </w:r>
      <w:proofErr w:type="spellEnd"/>
      <w:r w:rsidRPr="00AA074E">
        <w:rPr>
          <w:rFonts w:ascii="Avenir Next LT Pro Demi" w:hAnsi="Avenir Next LT Pro Demi"/>
        </w:rPr>
        <w:t xml:space="preserve">, Directrice de la Communication </w:t>
      </w:r>
    </w:p>
    <w:p w14:paraId="3CD42995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  <w:hyperlink r:id="rId10" w:history="1">
        <w:r w:rsidRPr="00AA074E">
          <w:rPr>
            <w:rStyle w:val="Lienhypertexte"/>
            <w:rFonts w:ascii="Avenir Next LT Pro Demi" w:hAnsi="Avenir Next LT Pro Demi"/>
            <w:sz w:val="24"/>
            <w:szCs w:val="24"/>
          </w:rPr>
          <w:t>leila.salimi@bred.fr</w:t>
        </w:r>
      </w:hyperlink>
      <w:r w:rsidRPr="00AA074E">
        <w:rPr>
          <w:rFonts w:ascii="Avenir Next LT Pro Demi" w:hAnsi="Avenir Next LT Pro Demi"/>
          <w:sz w:val="24"/>
          <w:szCs w:val="24"/>
        </w:rPr>
        <w:t xml:space="preserve"> </w:t>
      </w:r>
      <w:r w:rsidRPr="00AA074E">
        <w:rPr>
          <w:rFonts w:ascii="Avenir Next LT Pro Demi" w:hAnsi="Avenir Next LT Pro Demi"/>
        </w:rPr>
        <w:t>– 06 98 61 98 78</w:t>
      </w:r>
    </w:p>
    <w:p w14:paraId="324BFF0A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  <w:sz w:val="24"/>
          <w:szCs w:val="24"/>
        </w:rPr>
      </w:pPr>
    </w:p>
    <w:p w14:paraId="2883FF2C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</w:rPr>
      </w:pPr>
      <w:r w:rsidRPr="00AA074E">
        <w:rPr>
          <w:rFonts w:ascii="Avenir Next LT Pro Demi" w:hAnsi="Avenir Next LT Pro Demi"/>
        </w:rPr>
        <w:t>Anne Simonet, Responsable des relations médias et des réseaux sociaux</w:t>
      </w:r>
    </w:p>
    <w:p w14:paraId="6AE0FAF9" w14:textId="77777777" w:rsidR="005D4199" w:rsidRPr="00AA074E" w:rsidRDefault="005D4199" w:rsidP="005D4199">
      <w:pPr>
        <w:keepNext/>
        <w:spacing w:after="0" w:line="240" w:lineRule="auto"/>
        <w:jc w:val="both"/>
        <w:rPr>
          <w:rFonts w:ascii="Avenir Next LT Pro Demi" w:hAnsi="Avenir Next LT Pro Demi"/>
        </w:rPr>
      </w:pPr>
      <w:hyperlink r:id="rId11" w:history="1">
        <w:r w:rsidRPr="00AA074E">
          <w:rPr>
            <w:rStyle w:val="Lienhypertexte"/>
            <w:rFonts w:ascii="Avenir Next LT Pro Demi" w:hAnsi="Avenir Next LT Pro Demi"/>
            <w:sz w:val="24"/>
            <w:szCs w:val="24"/>
          </w:rPr>
          <w:t>anne.simonet@bred.fr</w:t>
        </w:r>
      </w:hyperlink>
      <w:r w:rsidRPr="00AA074E">
        <w:rPr>
          <w:rFonts w:ascii="Avenir Next LT Pro Demi" w:hAnsi="Avenir Next LT Pro Demi"/>
          <w:sz w:val="24"/>
          <w:szCs w:val="24"/>
        </w:rPr>
        <w:t xml:space="preserve"> </w:t>
      </w:r>
      <w:r w:rsidRPr="00AA074E">
        <w:rPr>
          <w:rFonts w:ascii="Avenir Next LT Pro Demi" w:hAnsi="Avenir Next LT Pro Demi"/>
        </w:rPr>
        <w:t>– 07 77 86 15 51</w:t>
      </w:r>
    </w:p>
    <w:p w14:paraId="4E7F8B58" w14:textId="77777777" w:rsidR="003E2B4F" w:rsidRPr="00AA074E" w:rsidRDefault="003E2B4F" w:rsidP="004B7373">
      <w:pPr>
        <w:ind w:left="-142"/>
        <w:rPr>
          <w:rFonts w:ascii="Avenir Next LT Pro Demi" w:hAnsi="Avenir Next LT Pro Demi"/>
        </w:rPr>
      </w:pPr>
    </w:p>
    <w:p w14:paraId="37F947BA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795C237F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1F94A6F6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40FFFA86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60E7C34B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35F85ED8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p w14:paraId="4207A9BF" w14:textId="77777777" w:rsidR="00CA0EEC" w:rsidRPr="00AA074E" w:rsidRDefault="00CA0EEC" w:rsidP="00CA0EEC">
      <w:pPr>
        <w:rPr>
          <w:rFonts w:ascii="Avenir Next LT Pro Demi" w:hAnsi="Avenir Next LT Pro Demi"/>
        </w:rPr>
      </w:pPr>
    </w:p>
    <w:sectPr w:rsidR="00CA0EEC" w:rsidRPr="00AA074E" w:rsidSect="00562622">
      <w:headerReference w:type="default" r:id="rId12"/>
      <w:pgSz w:w="11906" w:h="16838" w:code="9"/>
      <w:pgMar w:top="426" w:right="1274" w:bottom="709" w:left="993" w:header="284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EC47" w14:textId="77777777" w:rsidR="004E16E6" w:rsidRDefault="004E16E6" w:rsidP="00E62323">
      <w:pPr>
        <w:spacing w:after="0" w:line="240" w:lineRule="auto"/>
      </w:pPr>
      <w:r>
        <w:separator/>
      </w:r>
    </w:p>
  </w:endnote>
  <w:endnote w:type="continuationSeparator" w:id="0">
    <w:p w14:paraId="12DBDA26" w14:textId="77777777" w:rsidR="004E16E6" w:rsidRDefault="004E16E6" w:rsidP="00E62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E8D8" w14:textId="77777777" w:rsidR="004E16E6" w:rsidRDefault="004E16E6" w:rsidP="00E62323">
      <w:pPr>
        <w:spacing w:after="0" w:line="240" w:lineRule="auto"/>
      </w:pPr>
      <w:r>
        <w:separator/>
      </w:r>
    </w:p>
  </w:footnote>
  <w:footnote w:type="continuationSeparator" w:id="0">
    <w:p w14:paraId="6FB64124" w14:textId="77777777" w:rsidR="004E16E6" w:rsidRDefault="004E16E6" w:rsidP="00E62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338A" w14:textId="77777777" w:rsidR="009C2957" w:rsidRDefault="003E05EE" w:rsidP="00490B39">
    <w:pPr>
      <w:pStyle w:val="En-tte"/>
      <w:tabs>
        <w:tab w:val="clear" w:pos="4536"/>
        <w:tab w:val="clear" w:pos="9072"/>
        <w:tab w:val="center" w:pos="4776"/>
      </w:tabs>
      <w:ind w:left="-709"/>
    </w:pPr>
    <w:r>
      <w:pict w14:anchorId="593F1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1.75pt;height:71.25pt">
          <v:imagedata r:id="rId1" o:title=""/>
        </v:shape>
      </w:pict>
    </w:r>
    <w:r w:rsidR="00490B39">
      <w:tab/>
    </w:r>
  </w:p>
  <w:p w14:paraId="6C3A2E4A" w14:textId="77777777" w:rsidR="00490B39" w:rsidRDefault="00490B39" w:rsidP="00490B39">
    <w:pPr>
      <w:pStyle w:val="En-tte"/>
      <w:tabs>
        <w:tab w:val="clear" w:pos="4536"/>
        <w:tab w:val="clear" w:pos="9072"/>
        <w:tab w:val="center" w:pos="4776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24A0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803F3"/>
    <w:multiLevelType w:val="hybridMultilevel"/>
    <w:tmpl w:val="79C85A36"/>
    <w:lvl w:ilvl="0" w:tplc="040C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2" w15:restartNumberingAfterBreak="0">
    <w:nsid w:val="0FBB362F"/>
    <w:multiLevelType w:val="hybridMultilevel"/>
    <w:tmpl w:val="49722360"/>
    <w:lvl w:ilvl="0" w:tplc="D382C722">
      <w:start w:val="10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1704"/>
    <w:multiLevelType w:val="hybridMultilevel"/>
    <w:tmpl w:val="32404670"/>
    <w:lvl w:ilvl="0" w:tplc="040C000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" w15:restartNumberingAfterBreak="0">
    <w:nsid w:val="1CB57FD3"/>
    <w:multiLevelType w:val="hybridMultilevel"/>
    <w:tmpl w:val="69F2D8BE"/>
    <w:lvl w:ilvl="0" w:tplc="076E5468">
      <w:start w:val="2"/>
      <w:numFmt w:val="bullet"/>
      <w:lvlText w:val="-"/>
      <w:lvlJc w:val="left"/>
      <w:pPr>
        <w:ind w:left="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5" w15:restartNumberingAfterBreak="0">
    <w:nsid w:val="1DBE3F89"/>
    <w:multiLevelType w:val="hybridMultilevel"/>
    <w:tmpl w:val="6F1AD364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38429DA"/>
    <w:multiLevelType w:val="hybridMultilevel"/>
    <w:tmpl w:val="F30CB384"/>
    <w:lvl w:ilvl="0" w:tplc="9E4A0CE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2848"/>
    <w:multiLevelType w:val="hybridMultilevel"/>
    <w:tmpl w:val="1A301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07894"/>
    <w:multiLevelType w:val="hybridMultilevel"/>
    <w:tmpl w:val="212624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949DC4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B63351"/>
    <w:multiLevelType w:val="hybridMultilevel"/>
    <w:tmpl w:val="95DE049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ED85809"/>
    <w:multiLevelType w:val="hybridMultilevel"/>
    <w:tmpl w:val="97A89804"/>
    <w:lvl w:ilvl="0" w:tplc="D3C85CCC">
      <w:start w:val="10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C282D"/>
    <w:multiLevelType w:val="hybridMultilevel"/>
    <w:tmpl w:val="40325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20305"/>
    <w:multiLevelType w:val="hybridMultilevel"/>
    <w:tmpl w:val="ACDC1258"/>
    <w:lvl w:ilvl="0" w:tplc="4FB0AB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735F"/>
    <w:multiLevelType w:val="hybridMultilevel"/>
    <w:tmpl w:val="D0FE455E"/>
    <w:lvl w:ilvl="0" w:tplc="ACB89572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F8522BE"/>
    <w:multiLevelType w:val="hybridMultilevel"/>
    <w:tmpl w:val="6804B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48EF"/>
    <w:multiLevelType w:val="hybridMultilevel"/>
    <w:tmpl w:val="8572023C"/>
    <w:lvl w:ilvl="0" w:tplc="B5949DC4">
      <w:start w:val="1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1011182"/>
    <w:multiLevelType w:val="hybridMultilevel"/>
    <w:tmpl w:val="C86A1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95DA9"/>
    <w:multiLevelType w:val="hybridMultilevel"/>
    <w:tmpl w:val="7A1A9318"/>
    <w:lvl w:ilvl="0" w:tplc="C504C25A">
      <w:start w:val="26"/>
      <w:numFmt w:val="bullet"/>
      <w:lvlText w:val="-"/>
      <w:lvlJc w:val="left"/>
      <w:pPr>
        <w:ind w:left="155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8" w15:restartNumberingAfterBreak="0">
    <w:nsid w:val="507B4703"/>
    <w:multiLevelType w:val="hybridMultilevel"/>
    <w:tmpl w:val="F5AEBC00"/>
    <w:lvl w:ilvl="0" w:tplc="D33889F4">
      <w:start w:val="2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D4BFE"/>
    <w:multiLevelType w:val="hybridMultilevel"/>
    <w:tmpl w:val="699879E8"/>
    <w:lvl w:ilvl="0" w:tplc="E91C80F2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16B60"/>
    <w:multiLevelType w:val="hybridMultilevel"/>
    <w:tmpl w:val="F006B692"/>
    <w:lvl w:ilvl="0" w:tplc="07D26C34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4CF6384"/>
    <w:multiLevelType w:val="hybridMultilevel"/>
    <w:tmpl w:val="0BCCFA70"/>
    <w:lvl w:ilvl="0" w:tplc="B5949DC4">
      <w:start w:val="1"/>
      <w:numFmt w:val="bullet"/>
      <w:lvlText w:val="-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888334C"/>
    <w:multiLevelType w:val="hybridMultilevel"/>
    <w:tmpl w:val="3A10E6E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5949DC4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75E54"/>
    <w:multiLevelType w:val="hybridMultilevel"/>
    <w:tmpl w:val="BAD4CB0C"/>
    <w:lvl w:ilvl="0" w:tplc="0AD4D480">
      <w:start w:val="26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D2626"/>
    <w:multiLevelType w:val="hybridMultilevel"/>
    <w:tmpl w:val="2006CE84"/>
    <w:lvl w:ilvl="0" w:tplc="E4369128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80C3737"/>
    <w:multiLevelType w:val="hybridMultilevel"/>
    <w:tmpl w:val="E98E8F8E"/>
    <w:lvl w:ilvl="0" w:tplc="8C32F76E">
      <w:start w:val="26"/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13315B"/>
    <w:multiLevelType w:val="hybridMultilevel"/>
    <w:tmpl w:val="019624BC"/>
    <w:lvl w:ilvl="0" w:tplc="040C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 w16cid:durableId="222984952">
    <w:abstractNumId w:val="8"/>
  </w:num>
  <w:num w:numId="2" w16cid:durableId="1631400852">
    <w:abstractNumId w:val="22"/>
  </w:num>
  <w:num w:numId="3" w16cid:durableId="1945846149">
    <w:abstractNumId w:val="11"/>
  </w:num>
  <w:num w:numId="4" w16cid:durableId="1281378671">
    <w:abstractNumId w:val="1"/>
  </w:num>
  <w:num w:numId="5" w16cid:durableId="1622572366">
    <w:abstractNumId w:val="2"/>
  </w:num>
  <w:num w:numId="6" w16cid:durableId="2054960964">
    <w:abstractNumId w:val="17"/>
  </w:num>
  <w:num w:numId="7" w16cid:durableId="1820925380">
    <w:abstractNumId w:val="24"/>
  </w:num>
  <w:num w:numId="8" w16cid:durableId="507720954">
    <w:abstractNumId w:val="5"/>
  </w:num>
  <w:num w:numId="9" w16cid:durableId="287127116">
    <w:abstractNumId w:val="15"/>
  </w:num>
  <w:num w:numId="10" w16cid:durableId="992220879">
    <w:abstractNumId w:val="21"/>
  </w:num>
  <w:num w:numId="11" w16cid:durableId="1077749611">
    <w:abstractNumId w:val="3"/>
  </w:num>
  <w:num w:numId="12" w16cid:durableId="1754352226">
    <w:abstractNumId w:val="14"/>
  </w:num>
  <w:num w:numId="13" w16cid:durableId="1356887833">
    <w:abstractNumId w:val="13"/>
  </w:num>
  <w:num w:numId="14" w16cid:durableId="1042173377">
    <w:abstractNumId w:val="20"/>
  </w:num>
  <w:num w:numId="15" w16cid:durableId="909771626">
    <w:abstractNumId w:val="12"/>
  </w:num>
  <w:num w:numId="16" w16cid:durableId="875654817">
    <w:abstractNumId w:val="7"/>
  </w:num>
  <w:num w:numId="17" w16cid:durableId="1672831151">
    <w:abstractNumId w:val="16"/>
  </w:num>
  <w:num w:numId="18" w16cid:durableId="1636718122">
    <w:abstractNumId w:val="18"/>
  </w:num>
  <w:num w:numId="19" w16cid:durableId="1179585643">
    <w:abstractNumId w:val="25"/>
  </w:num>
  <w:num w:numId="20" w16cid:durableId="265767816">
    <w:abstractNumId w:val="23"/>
  </w:num>
  <w:num w:numId="21" w16cid:durableId="2004626437">
    <w:abstractNumId w:val="9"/>
  </w:num>
  <w:num w:numId="22" w16cid:durableId="1905800944">
    <w:abstractNumId w:val="26"/>
  </w:num>
  <w:num w:numId="23" w16cid:durableId="1535463469">
    <w:abstractNumId w:val="19"/>
  </w:num>
  <w:num w:numId="24" w16cid:durableId="633603874">
    <w:abstractNumId w:val="0"/>
  </w:num>
  <w:num w:numId="25" w16cid:durableId="1096439881">
    <w:abstractNumId w:val="10"/>
  </w:num>
  <w:num w:numId="26" w16cid:durableId="630981574">
    <w:abstractNumId w:val="4"/>
  </w:num>
  <w:num w:numId="27" w16cid:durableId="74472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323"/>
    <w:rsid w:val="0000665D"/>
    <w:rsid w:val="00006A62"/>
    <w:rsid w:val="00010074"/>
    <w:rsid w:val="00012AC3"/>
    <w:rsid w:val="00012D9E"/>
    <w:rsid w:val="00015B6A"/>
    <w:rsid w:val="00025137"/>
    <w:rsid w:val="0003294C"/>
    <w:rsid w:val="00040135"/>
    <w:rsid w:val="000730B2"/>
    <w:rsid w:val="00074629"/>
    <w:rsid w:val="0008431F"/>
    <w:rsid w:val="00086B98"/>
    <w:rsid w:val="0009041E"/>
    <w:rsid w:val="0009047D"/>
    <w:rsid w:val="00097BE2"/>
    <w:rsid w:val="000A0B1D"/>
    <w:rsid w:val="000B1CB5"/>
    <w:rsid w:val="000B4B21"/>
    <w:rsid w:val="000B5788"/>
    <w:rsid w:val="000B7C1D"/>
    <w:rsid w:val="000C12FF"/>
    <w:rsid w:val="000C352F"/>
    <w:rsid w:val="000D534E"/>
    <w:rsid w:val="000D6ADE"/>
    <w:rsid w:val="000F2CF3"/>
    <w:rsid w:val="000F3677"/>
    <w:rsid w:val="001019B7"/>
    <w:rsid w:val="001032D1"/>
    <w:rsid w:val="0011012F"/>
    <w:rsid w:val="00121CA1"/>
    <w:rsid w:val="00124EA6"/>
    <w:rsid w:val="00142418"/>
    <w:rsid w:val="001470A1"/>
    <w:rsid w:val="0014738F"/>
    <w:rsid w:val="001567B7"/>
    <w:rsid w:val="00156987"/>
    <w:rsid w:val="00167277"/>
    <w:rsid w:val="00172676"/>
    <w:rsid w:val="00176364"/>
    <w:rsid w:val="00184995"/>
    <w:rsid w:val="00186381"/>
    <w:rsid w:val="00193099"/>
    <w:rsid w:val="00195C00"/>
    <w:rsid w:val="001965EF"/>
    <w:rsid w:val="001A43E0"/>
    <w:rsid w:val="001B1DFD"/>
    <w:rsid w:val="001B43F0"/>
    <w:rsid w:val="001C4DB7"/>
    <w:rsid w:val="001C7604"/>
    <w:rsid w:val="001D18D8"/>
    <w:rsid w:val="001D1E2C"/>
    <w:rsid w:val="001D2FE9"/>
    <w:rsid w:val="001D7B9D"/>
    <w:rsid w:val="001E20B2"/>
    <w:rsid w:val="001E6421"/>
    <w:rsid w:val="001F0B11"/>
    <w:rsid w:val="001F1074"/>
    <w:rsid w:val="001F5A95"/>
    <w:rsid w:val="001F648C"/>
    <w:rsid w:val="001F7B72"/>
    <w:rsid w:val="00206B12"/>
    <w:rsid w:val="00210B89"/>
    <w:rsid w:val="00215388"/>
    <w:rsid w:val="00215E0A"/>
    <w:rsid w:val="00222753"/>
    <w:rsid w:val="00233B33"/>
    <w:rsid w:val="00236468"/>
    <w:rsid w:val="00240726"/>
    <w:rsid w:val="002412A0"/>
    <w:rsid w:val="00244B4D"/>
    <w:rsid w:val="0024548C"/>
    <w:rsid w:val="00251514"/>
    <w:rsid w:val="00252011"/>
    <w:rsid w:val="0025358C"/>
    <w:rsid w:val="002547F5"/>
    <w:rsid w:val="00254E46"/>
    <w:rsid w:val="0026129C"/>
    <w:rsid w:val="00263E87"/>
    <w:rsid w:val="00265881"/>
    <w:rsid w:val="00265E71"/>
    <w:rsid w:val="00266A29"/>
    <w:rsid w:val="002704F0"/>
    <w:rsid w:val="00271546"/>
    <w:rsid w:val="00273E70"/>
    <w:rsid w:val="002742C9"/>
    <w:rsid w:val="00282154"/>
    <w:rsid w:val="002829A0"/>
    <w:rsid w:val="00285FDF"/>
    <w:rsid w:val="002A0805"/>
    <w:rsid w:val="002B3AB2"/>
    <w:rsid w:val="002C37AB"/>
    <w:rsid w:val="002C41F2"/>
    <w:rsid w:val="002C4A05"/>
    <w:rsid w:val="002C53CA"/>
    <w:rsid w:val="002C6FAF"/>
    <w:rsid w:val="0030409E"/>
    <w:rsid w:val="00324AF3"/>
    <w:rsid w:val="00326E40"/>
    <w:rsid w:val="003275C7"/>
    <w:rsid w:val="00336345"/>
    <w:rsid w:val="0034558C"/>
    <w:rsid w:val="00346532"/>
    <w:rsid w:val="00352F78"/>
    <w:rsid w:val="00353D74"/>
    <w:rsid w:val="00354157"/>
    <w:rsid w:val="0035482B"/>
    <w:rsid w:val="00357DC3"/>
    <w:rsid w:val="003618E4"/>
    <w:rsid w:val="00361D20"/>
    <w:rsid w:val="003630AD"/>
    <w:rsid w:val="0036587D"/>
    <w:rsid w:val="00374CC6"/>
    <w:rsid w:val="003757DF"/>
    <w:rsid w:val="00375B7F"/>
    <w:rsid w:val="00376161"/>
    <w:rsid w:val="00390C43"/>
    <w:rsid w:val="00394FCA"/>
    <w:rsid w:val="00396C27"/>
    <w:rsid w:val="003A6E0A"/>
    <w:rsid w:val="003C7E99"/>
    <w:rsid w:val="003E05EE"/>
    <w:rsid w:val="003E2B4F"/>
    <w:rsid w:val="004024DC"/>
    <w:rsid w:val="0040283D"/>
    <w:rsid w:val="00402902"/>
    <w:rsid w:val="00407638"/>
    <w:rsid w:val="00416C3F"/>
    <w:rsid w:val="00436019"/>
    <w:rsid w:val="00437B42"/>
    <w:rsid w:val="004452C3"/>
    <w:rsid w:val="004477B7"/>
    <w:rsid w:val="0046353F"/>
    <w:rsid w:val="00463803"/>
    <w:rsid w:val="00471A6D"/>
    <w:rsid w:val="00490B39"/>
    <w:rsid w:val="0049237E"/>
    <w:rsid w:val="00493BFA"/>
    <w:rsid w:val="004B21F3"/>
    <w:rsid w:val="004B47E5"/>
    <w:rsid w:val="004B48F3"/>
    <w:rsid w:val="004B7373"/>
    <w:rsid w:val="004B7422"/>
    <w:rsid w:val="004C0A96"/>
    <w:rsid w:val="004C7A1B"/>
    <w:rsid w:val="004D0301"/>
    <w:rsid w:val="004D1376"/>
    <w:rsid w:val="004E06BF"/>
    <w:rsid w:val="004E16E6"/>
    <w:rsid w:val="004E285A"/>
    <w:rsid w:val="004F0AB8"/>
    <w:rsid w:val="00503678"/>
    <w:rsid w:val="0051282F"/>
    <w:rsid w:val="00512B02"/>
    <w:rsid w:val="00514F1C"/>
    <w:rsid w:val="00537816"/>
    <w:rsid w:val="00540488"/>
    <w:rsid w:val="00541ABD"/>
    <w:rsid w:val="0054346F"/>
    <w:rsid w:val="00562622"/>
    <w:rsid w:val="00563BFE"/>
    <w:rsid w:val="00564098"/>
    <w:rsid w:val="00566344"/>
    <w:rsid w:val="0056662B"/>
    <w:rsid w:val="0056787F"/>
    <w:rsid w:val="00576361"/>
    <w:rsid w:val="0058274A"/>
    <w:rsid w:val="00582CF5"/>
    <w:rsid w:val="005851EE"/>
    <w:rsid w:val="00595008"/>
    <w:rsid w:val="0059633E"/>
    <w:rsid w:val="005B4A7E"/>
    <w:rsid w:val="005B5271"/>
    <w:rsid w:val="005C2D48"/>
    <w:rsid w:val="005C2EDD"/>
    <w:rsid w:val="005C51F0"/>
    <w:rsid w:val="005C5D4A"/>
    <w:rsid w:val="005C78A3"/>
    <w:rsid w:val="005D4199"/>
    <w:rsid w:val="005D5C61"/>
    <w:rsid w:val="005E4389"/>
    <w:rsid w:val="005E5AED"/>
    <w:rsid w:val="005F2208"/>
    <w:rsid w:val="00612F06"/>
    <w:rsid w:val="00620D94"/>
    <w:rsid w:val="006311B8"/>
    <w:rsid w:val="00634FBF"/>
    <w:rsid w:val="0064516F"/>
    <w:rsid w:val="00651380"/>
    <w:rsid w:val="00651532"/>
    <w:rsid w:val="00655FF4"/>
    <w:rsid w:val="00657814"/>
    <w:rsid w:val="00661AC6"/>
    <w:rsid w:val="0066257F"/>
    <w:rsid w:val="0066360C"/>
    <w:rsid w:val="0067294A"/>
    <w:rsid w:val="00680418"/>
    <w:rsid w:val="006825A1"/>
    <w:rsid w:val="0069069E"/>
    <w:rsid w:val="0069185B"/>
    <w:rsid w:val="00693978"/>
    <w:rsid w:val="00694098"/>
    <w:rsid w:val="00695D38"/>
    <w:rsid w:val="006A0E9A"/>
    <w:rsid w:val="006D3719"/>
    <w:rsid w:val="006D5703"/>
    <w:rsid w:val="006D5A4E"/>
    <w:rsid w:val="006E00C8"/>
    <w:rsid w:val="006E516C"/>
    <w:rsid w:val="00700A6C"/>
    <w:rsid w:val="00717B00"/>
    <w:rsid w:val="007208F9"/>
    <w:rsid w:val="0072480F"/>
    <w:rsid w:val="00730597"/>
    <w:rsid w:val="00746CEF"/>
    <w:rsid w:val="00750C81"/>
    <w:rsid w:val="00757129"/>
    <w:rsid w:val="007626B2"/>
    <w:rsid w:val="007704E5"/>
    <w:rsid w:val="007762C9"/>
    <w:rsid w:val="00786107"/>
    <w:rsid w:val="007945B9"/>
    <w:rsid w:val="00794A96"/>
    <w:rsid w:val="007977FC"/>
    <w:rsid w:val="00797B6D"/>
    <w:rsid w:val="007A30DF"/>
    <w:rsid w:val="007B222C"/>
    <w:rsid w:val="007B682B"/>
    <w:rsid w:val="007C2D19"/>
    <w:rsid w:val="007D0A26"/>
    <w:rsid w:val="007D3E31"/>
    <w:rsid w:val="007D57D1"/>
    <w:rsid w:val="007E2251"/>
    <w:rsid w:val="007E67B6"/>
    <w:rsid w:val="00804FC6"/>
    <w:rsid w:val="00810C2E"/>
    <w:rsid w:val="00826EE4"/>
    <w:rsid w:val="00833B43"/>
    <w:rsid w:val="00835E3B"/>
    <w:rsid w:val="0084096D"/>
    <w:rsid w:val="00845B00"/>
    <w:rsid w:val="00853486"/>
    <w:rsid w:val="00862FCA"/>
    <w:rsid w:val="0086797E"/>
    <w:rsid w:val="00874973"/>
    <w:rsid w:val="00874DD8"/>
    <w:rsid w:val="00875549"/>
    <w:rsid w:val="008771F9"/>
    <w:rsid w:val="008823AF"/>
    <w:rsid w:val="00893E9F"/>
    <w:rsid w:val="008A254F"/>
    <w:rsid w:val="008C3577"/>
    <w:rsid w:val="008C468D"/>
    <w:rsid w:val="008C4BA6"/>
    <w:rsid w:val="008C6584"/>
    <w:rsid w:val="008D18EE"/>
    <w:rsid w:val="008D5CC7"/>
    <w:rsid w:val="009126EE"/>
    <w:rsid w:val="0091605A"/>
    <w:rsid w:val="0092336A"/>
    <w:rsid w:val="00924093"/>
    <w:rsid w:val="00935ED7"/>
    <w:rsid w:val="00941D82"/>
    <w:rsid w:val="00944E75"/>
    <w:rsid w:val="00951DED"/>
    <w:rsid w:val="009538B7"/>
    <w:rsid w:val="00973128"/>
    <w:rsid w:val="009803D2"/>
    <w:rsid w:val="0098283A"/>
    <w:rsid w:val="00983149"/>
    <w:rsid w:val="00990C21"/>
    <w:rsid w:val="009A757A"/>
    <w:rsid w:val="009B1B0D"/>
    <w:rsid w:val="009B4EDC"/>
    <w:rsid w:val="009C2957"/>
    <w:rsid w:val="009C2D3F"/>
    <w:rsid w:val="009C542A"/>
    <w:rsid w:val="009C5C01"/>
    <w:rsid w:val="009D2DBF"/>
    <w:rsid w:val="009D30A9"/>
    <w:rsid w:val="009E06BB"/>
    <w:rsid w:val="009E5A4B"/>
    <w:rsid w:val="009E5DB9"/>
    <w:rsid w:val="009E6BD7"/>
    <w:rsid w:val="009F4AB4"/>
    <w:rsid w:val="00A06216"/>
    <w:rsid w:val="00A06A6A"/>
    <w:rsid w:val="00A24464"/>
    <w:rsid w:val="00A27662"/>
    <w:rsid w:val="00A33E5C"/>
    <w:rsid w:val="00A36B20"/>
    <w:rsid w:val="00A40E39"/>
    <w:rsid w:val="00A43750"/>
    <w:rsid w:val="00A55A74"/>
    <w:rsid w:val="00A874F3"/>
    <w:rsid w:val="00AA074E"/>
    <w:rsid w:val="00AA1A65"/>
    <w:rsid w:val="00AA5292"/>
    <w:rsid w:val="00AA5752"/>
    <w:rsid w:val="00AB540A"/>
    <w:rsid w:val="00AC5EAB"/>
    <w:rsid w:val="00AC69C8"/>
    <w:rsid w:val="00AC6C44"/>
    <w:rsid w:val="00AD3FD8"/>
    <w:rsid w:val="00AE4AD8"/>
    <w:rsid w:val="00AE5279"/>
    <w:rsid w:val="00AF0A4E"/>
    <w:rsid w:val="00AF388A"/>
    <w:rsid w:val="00AF39E0"/>
    <w:rsid w:val="00AF3B71"/>
    <w:rsid w:val="00AF4006"/>
    <w:rsid w:val="00AF68B2"/>
    <w:rsid w:val="00B01EE1"/>
    <w:rsid w:val="00B100C2"/>
    <w:rsid w:val="00B1113E"/>
    <w:rsid w:val="00B1338F"/>
    <w:rsid w:val="00B14D52"/>
    <w:rsid w:val="00B15DED"/>
    <w:rsid w:val="00B235D8"/>
    <w:rsid w:val="00B23E0D"/>
    <w:rsid w:val="00B26B14"/>
    <w:rsid w:val="00B361B5"/>
    <w:rsid w:val="00B579F1"/>
    <w:rsid w:val="00B57AFF"/>
    <w:rsid w:val="00B63357"/>
    <w:rsid w:val="00B72F65"/>
    <w:rsid w:val="00BA0C17"/>
    <w:rsid w:val="00BA1BF7"/>
    <w:rsid w:val="00BD2219"/>
    <w:rsid w:val="00BD7EBE"/>
    <w:rsid w:val="00BE5A09"/>
    <w:rsid w:val="00BE6AD8"/>
    <w:rsid w:val="00BF2060"/>
    <w:rsid w:val="00BF43FC"/>
    <w:rsid w:val="00BF7CC2"/>
    <w:rsid w:val="00C001E7"/>
    <w:rsid w:val="00C064A5"/>
    <w:rsid w:val="00C066DD"/>
    <w:rsid w:val="00C15D70"/>
    <w:rsid w:val="00C257DE"/>
    <w:rsid w:val="00C26124"/>
    <w:rsid w:val="00C3546F"/>
    <w:rsid w:val="00C37D6B"/>
    <w:rsid w:val="00C44CBE"/>
    <w:rsid w:val="00C469E2"/>
    <w:rsid w:val="00C46CB4"/>
    <w:rsid w:val="00C50921"/>
    <w:rsid w:val="00C53643"/>
    <w:rsid w:val="00C602C9"/>
    <w:rsid w:val="00C668EF"/>
    <w:rsid w:val="00C67B9D"/>
    <w:rsid w:val="00C735DC"/>
    <w:rsid w:val="00C914A0"/>
    <w:rsid w:val="00C961B4"/>
    <w:rsid w:val="00CA0EEC"/>
    <w:rsid w:val="00CA4E6B"/>
    <w:rsid w:val="00CB219D"/>
    <w:rsid w:val="00CB575B"/>
    <w:rsid w:val="00CB6948"/>
    <w:rsid w:val="00CD0B68"/>
    <w:rsid w:val="00CD149B"/>
    <w:rsid w:val="00CF0F51"/>
    <w:rsid w:val="00CF6A2A"/>
    <w:rsid w:val="00D01376"/>
    <w:rsid w:val="00D04C4A"/>
    <w:rsid w:val="00D123A3"/>
    <w:rsid w:val="00D14A5D"/>
    <w:rsid w:val="00D15539"/>
    <w:rsid w:val="00D21887"/>
    <w:rsid w:val="00D21B9C"/>
    <w:rsid w:val="00D23F4C"/>
    <w:rsid w:val="00D27593"/>
    <w:rsid w:val="00D30095"/>
    <w:rsid w:val="00D31EE0"/>
    <w:rsid w:val="00D41104"/>
    <w:rsid w:val="00D479F1"/>
    <w:rsid w:val="00D5313B"/>
    <w:rsid w:val="00D670FC"/>
    <w:rsid w:val="00D72456"/>
    <w:rsid w:val="00D73A79"/>
    <w:rsid w:val="00D740AB"/>
    <w:rsid w:val="00D841D5"/>
    <w:rsid w:val="00D846D3"/>
    <w:rsid w:val="00D84EAE"/>
    <w:rsid w:val="00D8700B"/>
    <w:rsid w:val="00D8769A"/>
    <w:rsid w:val="00D91413"/>
    <w:rsid w:val="00D961B8"/>
    <w:rsid w:val="00D975CE"/>
    <w:rsid w:val="00D97E4C"/>
    <w:rsid w:val="00DA20FE"/>
    <w:rsid w:val="00DA41BA"/>
    <w:rsid w:val="00DA4789"/>
    <w:rsid w:val="00DC1E62"/>
    <w:rsid w:val="00DC1FA0"/>
    <w:rsid w:val="00DC31E4"/>
    <w:rsid w:val="00DC5B92"/>
    <w:rsid w:val="00DD5E73"/>
    <w:rsid w:val="00DE601C"/>
    <w:rsid w:val="00DF2C26"/>
    <w:rsid w:val="00DF306C"/>
    <w:rsid w:val="00DF3C0C"/>
    <w:rsid w:val="00E0150D"/>
    <w:rsid w:val="00E03446"/>
    <w:rsid w:val="00E11058"/>
    <w:rsid w:val="00E11BFB"/>
    <w:rsid w:val="00E12769"/>
    <w:rsid w:val="00E14DA4"/>
    <w:rsid w:val="00E205AF"/>
    <w:rsid w:val="00E24E05"/>
    <w:rsid w:val="00E261EF"/>
    <w:rsid w:val="00E4013B"/>
    <w:rsid w:val="00E41FD3"/>
    <w:rsid w:val="00E434DF"/>
    <w:rsid w:val="00E454BD"/>
    <w:rsid w:val="00E50DB0"/>
    <w:rsid w:val="00E574B9"/>
    <w:rsid w:val="00E62323"/>
    <w:rsid w:val="00E648EC"/>
    <w:rsid w:val="00E70D7C"/>
    <w:rsid w:val="00E713F9"/>
    <w:rsid w:val="00E7390C"/>
    <w:rsid w:val="00EA429E"/>
    <w:rsid w:val="00EA7F80"/>
    <w:rsid w:val="00EB239F"/>
    <w:rsid w:val="00EC3275"/>
    <w:rsid w:val="00ED0079"/>
    <w:rsid w:val="00ED166E"/>
    <w:rsid w:val="00ED2646"/>
    <w:rsid w:val="00ED2BE7"/>
    <w:rsid w:val="00ED5AFE"/>
    <w:rsid w:val="00EE16D6"/>
    <w:rsid w:val="00EF6E56"/>
    <w:rsid w:val="00EF7A16"/>
    <w:rsid w:val="00F00E30"/>
    <w:rsid w:val="00F01B1A"/>
    <w:rsid w:val="00F03E96"/>
    <w:rsid w:val="00F1083F"/>
    <w:rsid w:val="00F11D86"/>
    <w:rsid w:val="00F15B76"/>
    <w:rsid w:val="00F16E70"/>
    <w:rsid w:val="00F265D0"/>
    <w:rsid w:val="00F34AC0"/>
    <w:rsid w:val="00F368EE"/>
    <w:rsid w:val="00F400EE"/>
    <w:rsid w:val="00F42DF4"/>
    <w:rsid w:val="00F43D78"/>
    <w:rsid w:val="00F4614F"/>
    <w:rsid w:val="00F51BE0"/>
    <w:rsid w:val="00F531BB"/>
    <w:rsid w:val="00F55EE0"/>
    <w:rsid w:val="00F632AE"/>
    <w:rsid w:val="00F6746B"/>
    <w:rsid w:val="00F7341B"/>
    <w:rsid w:val="00F76C84"/>
    <w:rsid w:val="00F80CBA"/>
    <w:rsid w:val="00F854CF"/>
    <w:rsid w:val="00FA21C2"/>
    <w:rsid w:val="00FA40B3"/>
    <w:rsid w:val="00FB5B0B"/>
    <w:rsid w:val="00FB7F9C"/>
    <w:rsid w:val="00FC255A"/>
    <w:rsid w:val="00FC6A54"/>
    <w:rsid w:val="00FD5203"/>
    <w:rsid w:val="00FE4D30"/>
    <w:rsid w:val="00FF0355"/>
    <w:rsid w:val="00FF5189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94EB97"/>
  <w15:chartTrackingRefBased/>
  <w15:docId w15:val="{AEAB7CFF-90CB-47C0-BFD9-0FC5962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D41104"/>
    <w:pPr>
      <w:keepNext/>
      <w:spacing w:after="0" w:line="240" w:lineRule="auto"/>
      <w:ind w:left="540" w:hanging="540"/>
      <w:outlineLvl w:val="0"/>
    </w:pPr>
    <w:rPr>
      <w:rFonts w:ascii="Times New Roman" w:eastAsia="Times New Roman" w:hAnsi="Times New Roman"/>
      <w:b/>
      <w:bCs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B7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65781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6232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2323"/>
  </w:style>
  <w:style w:type="paragraph" w:styleId="Pieddepage">
    <w:name w:val="footer"/>
    <w:basedOn w:val="Normal"/>
    <w:link w:val="PieddepageCar"/>
    <w:uiPriority w:val="99"/>
    <w:unhideWhenUsed/>
    <w:rsid w:val="00E62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2323"/>
  </w:style>
  <w:style w:type="character" w:customStyle="1" w:styleId="Titre1Car">
    <w:name w:val="Titre 1 Car"/>
    <w:link w:val="Titre1"/>
    <w:rsid w:val="00D41104"/>
    <w:rPr>
      <w:rFonts w:ascii="Times New Roman" w:eastAsia="Times New Roman" w:hAnsi="Times New Roman" w:cs="Times New Roman"/>
      <w:b/>
      <w:bCs/>
      <w:szCs w:val="20"/>
      <w:lang w:eastAsia="fr-FR"/>
    </w:rPr>
  </w:style>
  <w:style w:type="paragraph" w:customStyle="1" w:styleId="Retrait1">
    <w:name w:val="Retrait 1"/>
    <w:basedOn w:val="Normal"/>
    <w:rsid w:val="00D41104"/>
    <w:pPr>
      <w:autoSpaceDE w:val="0"/>
      <w:autoSpaceDN w:val="0"/>
      <w:adjustRightInd w:val="0"/>
      <w:spacing w:before="141" w:after="0" w:line="240" w:lineRule="auto"/>
      <w:ind w:left="1134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extesimple">
    <w:name w:val="Texte simple"/>
    <w:basedOn w:val="Normal"/>
    <w:rsid w:val="00D411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D41104"/>
    <w:pPr>
      <w:spacing w:after="0" w:line="240" w:lineRule="auto"/>
      <w:ind w:left="720"/>
    </w:pPr>
    <w:rPr>
      <w:rFonts w:cs="Calibri"/>
      <w:lang w:eastAsia="fr-FR"/>
    </w:rPr>
  </w:style>
  <w:style w:type="paragraph" w:customStyle="1" w:styleId="ADRESSE">
    <w:name w:val="ADRESSE"/>
    <w:basedOn w:val="Normal"/>
    <w:rsid w:val="0046353F"/>
    <w:pPr>
      <w:autoSpaceDE w:val="0"/>
      <w:autoSpaceDN w:val="0"/>
      <w:adjustRightInd w:val="0"/>
      <w:spacing w:after="0" w:line="240" w:lineRule="auto"/>
      <w:ind w:left="6237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4B47E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DE601C"/>
    <w:pPr>
      <w:autoSpaceDE w:val="0"/>
      <w:autoSpaceDN w:val="0"/>
      <w:adjustRightInd w:val="0"/>
      <w:spacing w:after="0" w:line="240" w:lineRule="atLeast"/>
      <w:ind w:left="1134"/>
    </w:pPr>
    <w:rPr>
      <w:rFonts w:ascii="Times New Roman" w:eastAsia="Times New Roman" w:hAnsi="Times New Roman"/>
      <w:color w:val="000000"/>
      <w:szCs w:val="20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DE601C"/>
    <w:rPr>
      <w:rFonts w:ascii="Times New Roman" w:eastAsia="Times New Roman" w:hAnsi="Times New Roman" w:cs="Times New Roman"/>
      <w:color w:val="000000"/>
      <w:szCs w:val="20"/>
      <w:lang w:eastAsia="fr-FR"/>
    </w:rPr>
  </w:style>
  <w:style w:type="paragraph" w:customStyle="1" w:styleId="Default">
    <w:name w:val="Default"/>
    <w:rsid w:val="003618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5C2EDD"/>
    <w:rPr>
      <w:color w:val="0000FF"/>
      <w:u w:val="single"/>
    </w:rPr>
  </w:style>
  <w:style w:type="character" w:customStyle="1" w:styleId="Titre3Car">
    <w:name w:val="Titre 3 Car"/>
    <w:link w:val="Titre3"/>
    <w:uiPriority w:val="9"/>
    <w:rsid w:val="00657814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xbe">
    <w:name w:val="_xbe"/>
    <w:basedOn w:val="Policepardfaut"/>
    <w:rsid w:val="001C7604"/>
  </w:style>
  <w:style w:type="character" w:customStyle="1" w:styleId="Titre2Car">
    <w:name w:val="Titre 2 Car"/>
    <w:link w:val="Titre2"/>
    <w:uiPriority w:val="9"/>
    <w:semiHidden/>
    <w:rsid w:val="00F15B7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5B7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F15B76"/>
    <w:rPr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16E7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E2B4F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3E2B4F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E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6A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6AD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6AD8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6A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6AD8"/>
    <w:rPr>
      <w:b/>
      <w:bCs/>
      <w:lang w:eastAsia="en-US"/>
    </w:rPr>
  </w:style>
  <w:style w:type="paragraph" w:styleId="Rvision">
    <w:name w:val="Revision"/>
    <w:hidden/>
    <w:uiPriority w:val="99"/>
    <w:semiHidden/>
    <w:rsid w:val="001567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.simonet@bred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ila.salimi@bred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1884-F0FA-43DC-83BC-EFA51CCCFD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23f81c-83fa-46a0-b5a7-1a82e7596f24}" enabled="1" method="Standard" siteId="{1d123b40-06f1-4551-a329-ab5115fc1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1033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BRED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PARMENTIER [BRED-8331]</dc:creator>
  <cp:keywords/>
  <cp:lastModifiedBy>CORALIE HERVE - OULHEN [BRED-8330]</cp:lastModifiedBy>
  <cp:revision>8</cp:revision>
  <cp:lastPrinted>2025-11-04T15:19:00Z</cp:lastPrinted>
  <dcterms:created xsi:type="dcterms:W3CDTF">2026-02-24T10:17:00Z</dcterms:created>
  <dcterms:modified xsi:type="dcterms:W3CDTF">2026-02-24T12:53:00Z</dcterms:modified>
</cp:coreProperties>
</file>